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49" w:rsidRPr="00910C49" w:rsidRDefault="00910C49" w:rsidP="00910C49">
      <w:pPr>
        <w:shd w:val="clear" w:color="auto" w:fill="2E74B5" w:themeFill="accent1" w:themeFillShade="BF"/>
        <w:rPr>
          <w:b/>
          <w:lang w:val="ka-GE"/>
        </w:rPr>
      </w:pPr>
      <w:r w:rsidRPr="00910C49">
        <w:rPr>
          <w:b/>
        </w:rPr>
        <w:t xml:space="preserve">I </w:t>
      </w:r>
      <w:r w:rsidRPr="00910C49">
        <w:rPr>
          <w:b/>
          <w:lang w:val="ka-GE"/>
        </w:rPr>
        <w:t>კონტროლის თემა</w:t>
      </w:r>
    </w:p>
    <w:p w:rsidR="00FE09C6" w:rsidRPr="00CD326B" w:rsidRDefault="00FE09C6" w:rsidP="00910C49">
      <w:pPr>
        <w:jc w:val="both"/>
        <w:rPr>
          <w:rFonts w:cs="Sylfaen"/>
          <w:lang w:val="ka-GE"/>
        </w:rPr>
      </w:pPr>
      <w:r w:rsidRPr="00CD326B">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კანონმდებლობით მინიჭებული უფლებამოსილებების ეფექტური მართვისა და კოორდინაციის მიზნით, განხორციელდა სამინისტროს სახელმწიფო კონტროლს დაქვემდებარებული სსიპ-ების ფუნქციებისა და უფლებამოსილებების ანალიზი</w:t>
      </w:r>
      <w:r w:rsidRPr="00B616C7">
        <w:rPr>
          <w:rFonts w:cs="Sylfaen"/>
          <w:lang w:val="ka-GE"/>
        </w:rPr>
        <w:t>, რის საფუძველზეც</w:t>
      </w:r>
      <w:r w:rsidRPr="00CD326B">
        <w:rPr>
          <w:rFonts w:cs="Sylfaen"/>
          <w:lang w:val="ka-GE"/>
        </w:rPr>
        <w:t xml:space="preserve"> განხორციელდ</w:t>
      </w:r>
      <w:r w:rsidRPr="00B616C7">
        <w:rPr>
          <w:rFonts w:cs="Sylfaen"/>
          <w:lang w:val="ka-GE"/>
        </w:rPr>
        <w:t>ა</w:t>
      </w:r>
      <w:r w:rsidRPr="00CD326B">
        <w:rPr>
          <w:rFonts w:cs="Sylfaen"/>
          <w:lang w:val="ka-GE"/>
        </w:rPr>
        <w:t xml:space="preserve"> სსიპ </w:t>
      </w:r>
      <w:r w:rsidRPr="00B616C7">
        <w:rPr>
          <w:rFonts w:cs="Sylfaen"/>
          <w:lang w:val="ka-GE"/>
        </w:rPr>
        <w:t xml:space="preserve">- </w:t>
      </w:r>
      <w:r w:rsidRPr="00CD326B">
        <w:rPr>
          <w:rFonts w:cs="Sylfaen"/>
          <w:lang w:val="ka-GE"/>
        </w:rPr>
        <w:t>სოციალური მომსახურების სააგენტოს</w:t>
      </w:r>
      <w:r w:rsidRPr="00B616C7">
        <w:rPr>
          <w:rFonts w:cs="Sylfaen"/>
          <w:lang w:val="ka-GE"/>
        </w:rPr>
        <w:t xml:space="preserve"> </w:t>
      </w:r>
      <w:r w:rsidRPr="00CD326B">
        <w:rPr>
          <w:rFonts w:cs="Sylfaen"/>
          <w:lang w:val="ka-GE"/>
        </w:rPr>
        <w:t>კონტროლის დეპარტამენტის ჯანმრთელობის დაცვის პროგრამების კონტროლის მიმართულების გამოყოფა და მისი ფუნქცია/მოვალეობები</w:t>
      </w:r>
      <w:r w:rsidRPr="00B616C7">
        <w:rPr>
          <w:rFonts w:cs="Sylfaen"/>
          <w:lang w:val="ka-GE"/>
        </w:rPr>
        <w:t>ს</w:t>
      </w:r>
      <w:r w:rsidRPr="00CD326B">
        <w:rPr>
          <w:rFonts w:cs="Sylfaen"/>
          <w:lang w:val="ka-GE"/>
        </w:rPr>
        <w:t xml:space="preserve"> შესაბამისი მატერიალური რესურსით  სსიპ</w:t>
      </w:r>
      <w:r w:rsidRPr="00B616C7">
        <w:rPr>
          <w:rFonts w:cs="Sylfaen"/>
          <w:lang w:val="ka-GE"/>
        </w:rPr>
        <w:t xml:space="preserve"> -</w:t>
      </w:r>
      <w:r w:rsidRPr="00CD326B">
        <w:rPr>
          <w:rFonts w:cs="Sylfaen"/>
          <w:lang w:val="ka-GE"/>
        </w:rPr>
        <w:t xml:space="preserve"> სამედიცინო და ფარმაცევტული საქმიანობის რეგულირების სააგენტოს</w:t>
      </w:r>
      <w:r w:rsidRPr="00B616C7">
        <w:rPr>
          <w:rFonts w:cs="Sylfaen"/>
          <w:lang w:val="ka-GE"/>
        </w:rPr>
        <w:t xml:space="preserve">თვის </w:t>
      </w:r>
      <w:r w:rsidRPr="00CD326B">
        <w:rPr>
          <w:rFonts w:cs="Sylfaen"/>
          <w:lang w:val="ka-GE"/>
        </w:rPr>
        <w:t>გადაცემა</w:t>
      </w:r>
      <w:r>
        <w:rPr>
          <w:rFonts w:cs="Sylfaen"/>
          <w:lang w:val="ka-GE"/>
        </w:rPr>
        <w:t xml:space="preserve">. </w:t>
      </w:r>
      <w:r w:rsidRPr="00CD326B">
        <w:rPr>
          <w:rFonts w:cs="Sylfaen"/>
          <w:lang w:val="ka-GE"/>
        </w:rPr>
        <w:t xml:space="preserve"> </w:t>
      </w:r>
      <w:r w:rsidRPr="00B616C7">
        <w:rPr>
          <w:rFonts w:cs="Sylfaen"/>
          <w:lang w:val="ka-GE"/>
        </w:rPr>
        <w:t>ამასთან,</w:t>
      </w:r>
      <w:r w:rsidRPr="00CD326B">
        <w:rPr>
          <w:rFonts w:cs="Sylfaen"/>
          <w:lang w:val="ka-GE"/>
        </w:rPr>
        <w:t xml:space="preserve"> სსიპ </w:t>
      </w:r>
      <w:r w:rsidRPr="00B616C7">
        <w:rPr>
          <w:rFonts w:cs="Sylfaen"/>
          <w:lang w:val="ka-GE"/>
        </w:rPr>
        <w:t xml:space="preserve"> - </w:t>
      </w:r>
      <w:r w:rsidRPr="00CD326B">
        <w:rPr>
          <w:rFonts w:cs="Sylfaen"/>
          <w:lang w:val="ka-GE"/>
        </w:rPr>
        <w:t xml:space="preserve">სამედიცინო და ფარმაცევტული საქმიანობის რეგულირების სააგენტო </w:t>
      </w:r>
      <w:r w:rsidRPr="00B616C7">
        <w:rPr>
          <w:rFonts w:cs="Sylfaen"/>
          <w:lang w:val="ka-GE"/>
        </w:rPr>
        <w:t xml:space="preserve">გახდა </w:t>
      </w:r>
      <w:r w:rsidRPr="00CD326B">
        <w:rPr>
          <w:rFonts w:cs="Sylfaen"/>
          <w:lang w:val="ka-GE"/>
        </w:rPr>
        <w:t xml:space="preserve"> სსიპ </w:t>
      </w:r>
      <w:r w:rsidRPr="00B616C7">
        <w:rPr>
          <w:rFonts w:cs="Sylfaen"/>
          <w:lang w:val="ka-GE"/>
        </w:rPr>
        <w:t xml:space="preserve">- </w:t>
      </w:r>
      <w:r w:rsidRPr="00CD326B">
        <w:rPr>
          <w:rFonts w:cs="Sylfaen"/>
          <w:lang w:val="ka-GE"/>
        </w:rPr>
        <w:t>სოციალური მომსახურების სააგენტოს</w:t>
      </w:r>
      <w:r w:rsidRPr="00B616C7">
        <w:rPr>
          <w:rFonts w:cs="Sylfaen"/>
          <w:lang w:val="ka-GE"/>
        </w:rPr>
        <w:t xml:space="preserve"> </w:t>
      </w:r>
      <w:r w:rsidRPr="00CD326B">
        <w:rPr>
          <w:rFonts w:cs="Sylfaen"/>
          <w:lang w:val="ka-GE"/>
        </w:rPr>
        <w:t>ჯანმრთელობის დაცვის პროგრამების კონტროლის მიმართულებით უფლებამონაცვლე</w:t>
      </w:r>
      <w:r>
        <w:rPr>
          <w:rFonts w:cs="Sylfaen"/>
          <w:lang w:val="ka-GE"/>
        </w:rPr>
        <w:t xml:space="preserve"> </w:t>
      </w:r>
      <w:r w:rsidRPr="00CD326B">
        <w:rPr>
          <w:rFonts w:cs="Sylfaen"/>
          <w:lang w:val="ka-GE"/>
        </w:rPr>
        <w:t>(</w:t>
      </w:r>
      <w:r>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გადანაწილებასთან/განხორციელებასთან დაკავშირებით გასატარებელ ღონისძიებათა შესახებ“ საქართველოს მთავრობის 2019 წლის 10 ოქტომბრის N487 დადგენილება)</w:t>
      </w:r>
      <w:r w:rsidRPr="00CD326B">
        <w:rPr>
          <w:rFonts w:cs="Sylfaen"/>
          <w:lang w:val="ka-GE"/>
        </w:rPr>
        <w:t xml:space="preserve">. </w:t>
      </w:r>
    </w:p>
    <w:p w:rsidR="00910C49" w:rsidRPr="00910C49" w:rsidRDefault="00910C49" w:rsidP="00910C49">
      <w:pPr>
        <w:jc w:val="both"/>
        <w:rPr>
          <w:lang w:val="ka-GE"/>
        </w:rPr>
      </w:pPr>
      <w:r>
        <w:rPr>
          <w:rFonts w:cs="Sylfaen"/>
          <w:lang w:val="ka-GE"/>
        </w:rPr>
        <w:t xml:space="preserve">ჯანმრთელობის დაცვის </w:t>
      </w:r>
      <w:r w:rsidRPr="00B616C7">
        <w:rPr>
          <w:rFonts w:cs="Sylfaen"/>
          <w:lang w:val="ka-GE"/>
        </w:rPr>
        <w:t>სახელმწიფო პრგორამის ადმინისტრირების საკითხები შესაბამისიბაში მო</w:t>
      </w:r>
      <w:r>
        <w:rPr>
          <w:rFonts w:cs="Sylfaen"/>
          <w:lang w:val="ka-GE"/>
        </w:rPr>
        <w:t>ვიდა</w:t>
      </w:r>
      <w:r w:rsidRPr="00B616C7">
        <w:rPr>
          <w:rFonts w:cs="Sylfaen"/>
          <w:lang w:val="ka-GE"/>
        </w:rPr>
        <w:t xml:space="preserve"> ზემოაღნიშნულ ცვ</w:t>
      </w:r>
      <w:r>
        <w:rPr>
          <w:rFonts w:cs="Sylfaen"/>
          <w:lang w:val="ka-GE"/>
        </w:rPr>
        <w:t>ლ</w:t>
      </w:r>
      <w:r w:rsidRPr="00B616C7">
        <w:rPr>
          <w:rFonts w:cs="Sylfaen"/>
          <w:lang w:val="ka-GE"/>
        </w:rPr>
        <w:t>ილებებთან</w:t>
      </w:r>
      <w:r>
        <w:rPr>
          <w:rFonts w:cs="Sylfaen"/>
          <w:lang w:val="ka-GE"/>
        </w:rPr>
        <w:t xml:space="preserve">. კერძოდ, </w:t>
      </w:r>
      <w:r w:rsidRPr="00E879CD">
        <w:rPr>
          <w:rFonts w:cs="Sylfaen"/>
          <w:lang w:val="ka-GE"/>
        </w:rPr>
        <w:t>პროგრამით განსაზღვრული პირობების შესრულების კონტროლი</w:t>
      </w:r>
      <w:r>
        <w:rPr>
          <w:rFonts w:cs="Sylfaen"/>
          <w:lang w:val="ka-GE"/>
        </w:rPr>
        <w:t xml:space="preserve">ს ფუნქცია, სსიპ სოციალური მომსახურების სააგენტოს ნაცვლად, ევალება </w:t>
      </w:r>
      <w:r w:rsidRPr="00CD326B">
        <w:rPr>
          <w:rFonts w:cs="Sylfaen"/>
          <w:lang w:val="ka-GE"/>
        </w:rPr>
        <w:t>სსიპ</w:t>
      </w:r>
      <w:r w:rsidRPr="00B616C7">
        <w:rPr>
          <w:rFonts w:cs="Sylfaen"/>
          <w:lang w:val="ka-GE"/>
        </w:rPr>
        <w:t xml:space="preserve"> -</w:t>
      </w:r>
      <w:r w:rsidRPr="00CD326B">
        <w:rPr>
          <w:rFonts w:cs="Sylfaen"/>
          <w:lang w:val="ka-GE"/>
        </w:rPr>
        <w:t xml:space="preserve"> სამედიცინო და ფარმაცევტული საქმიანობის რეგულირების სააგენტოს</w:t>
      </w:r>
      <w:r>
        <w:rPr>
          <w:rFonts w:cs="Sylfaen"/>
          <w:lang w:val="ka-GE"/>
        </w:rPr>
        <w:t>.</w:t>
      </w:r>
    </w:p>
    <w:p w:rsidR="00910C49" w:rsidRDefault="00910C49" w:rsidP="00910C49">
      <w:pPr>
        <w:ind w:firstLine="720"/>
        <w:jc w:val="both"/>
        <w:rPr>
          <w:rFonts w:cs="Sylfaen"/>
          <w:lang w:val="ka-GE"/>
        </w:rPr>
      </w:pPr>
    </w:p>
    <w:p w:rsidR="00FB15E9" w:rsidRDefault="00FB15E9">
      <w:pPr>
        <w:rPr>
          <w:lang w:val="ka-GE"/>
        </w:rPr>
      </w:pPr>
      <w:r>
        <w:rPr>
          <w:lang w:val="ka-GE"/>
        </w:rPr>
        <w:br w:type="page"/>
      </w:r>
    </w:p>
    <w:p w:rsidR="00910C49" w:rsidRPr="00910C49" w:rsidRDefault="00910C49" w:rsidP="00910C49">
      <w:pPr>
        <w:shd w:val="clear" w:color="auto" w:fill="2E74B5" w:themeFill="accent1" w:themeFillShade="BF"/>
        <w:rPr>
          <w:b/>
          <w:lang w:val="ka-GE"/>
        </w:rPr>
      </w:pPr>
      <w:r w:rsidRPr="00437654">
        <w:rPr>
          <w:b/>
          <w:lang w:val="ka-GE"/>
        </w:rPr>
        <w:lastRenderedPageBreak/>
        <w:t xml:space="preserve">II 520 </w:t>
      </w:r>
      <w:r>
        <w:rPr>
          <w:b/>
          <w:lang w:val="ka-GE"/>
        </w:rPr>
        <w:t>დადგენილება</w:t>
      </w:r>
    </w:p>
    <w:p w:rsidR="00C94662" w:rsidRDefault="00FB15E9" w:rsidP="00FB15E9">
      <w:pPr>
        <w:jc w:val="both"/>
        <w:rPr>
          <w:b/>
          <w:lang w:val="ka-GE"/>
        </w:rPr>
      </w:pPr>
      <w:r w:rsidRPr="00FB15E9">
        <w:rPr>
          <w:rFonts w:eastAsia="Times New Roman" w:cs="Times New Roman"/>
          <w:b/>
          <w:sz w:val="24"/>
          <w:szCs w:val="24"/>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შეტანის თაობაზე“ საქართველოს მთავრობის </w:t>
      </w:r>
      <w:r w:rsidRPr="00FB15E9">
        <w:rPr>
          <w:b/>
          <w:lang w:val="ka-GE"/>
        </w:rPr>
        <w:t xml:space="preserve">2019 წლის 5 ნოემბერია N520 დადგენილება </w:t>
      </w:r>
      <w:r>
        <w:rPr>
          <w:b/>
          <w:lang w:val="ka-GE"/>
        </w:rPr>
        <w:t>(</w:t>
      </w:r>
      <w:r w:rsidR="00C94662" w:rsidRPr="00FB15E9">
        <w:rPr>
          <w:b/>
          <w:lang w:val="ka-GE"/>
        </w:rPr>
        <w:t>N01-9098 03.09.19 - მოხსენებითი ბარათი (თეა)</w:t>
      </w:r>
    </w:p>
    <w:p w:rsidR="00C94662" w:rsidRPr="00437654" w:rsidRDefault="00FB15E9" w:rsidP="00FB15E9">
      <w:pPr>
        <w:jc w:val="both"/>
        <w:rPr>
          <w:rFonts w:ascii="Times New Roman" w:eastAsia="Times New Roman" w:hAnsi="Times New Roman" w:cs="Times New Roman"/>
          <w:sz w:val="20"/>
          <w:szCs w:val="20"/>
          <w:lang w:val="ka-GE"/>
        </w:rPr>
      </w:pPr>
      <w:r>
        <w:rPr>
          <w:b/>
          <w:lang w:val="ka-GE"/>
        </w:rPr>
        <w:t xml:space="preserve">საფუძველი - </w:t>
      </w:r>
      <w:r w:rsidR="00C94662" w:rsidRPr="00C94662">
        <w:rPr>
          <w:rFonts w:eastAsia="Times New Roma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w:t>
      </w:r>
      <w:r w:rsidR="00C94662" w:rsidRPr="00C94662">
        <w:rPr>
          <w:rFonts w:ascii="Times New Roman" w:eastAsia="Times New Roman" w:hAnsi="Times New Roman" w:cs="Times New Roman"/>
          <w:sz w:val="24"/>
          <w:szCs w:val="24"/>
          <w:lang w:val="ka-GE"/>
        </w:rPr>
        <w:t>№ 01-</w:t>
      </w:r>
      <w:r w:rsidR="00C94662" w:rsidRPr="00C94662">
        <w:rPr>
          <w:rFonts w:eastAsia="Times New Roman" w:cs="Times New Roman"/>
          <w:sz w:val="24"/>
          <w:szCs w:val="24"/>
          <w:lang w:val="ka-GE"/>
        </w:rPr>
        <w:t>1290</w:t>
      </w:r>
      <w:r w:rsidR="00C94662" w:rsidRPr="00C94662">
        <w:rPr>
          <w:rFonts w:ascii="Times New Roman" w:eastAsia="Times New Roman" w:hAnsi="Times New Roman" w:cs="Times New Roman"/>
          <w:sz w:val="24"/>
          <w:szCs w:val="24"/>
          <w:lang w:val="ka-GE"/>
        </w:rPr>
        <w:t>/</w:t>
      </w:r>
      <w:r w:rsidR="00C94662" w:rsidRPr="00C94662">
        <w:rPr>
          <w:rFonts w:eastAsia="Times New Roman" w:cs="Times New Roman"/>
          <w:sz w:val="24"/>
          <w:szCs w:val="24"/>
          <w:lang w:val="ka-GE"/>
        </w:rPr>
        <w:t>ო</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ბრძანების შესაბამისად, ჯანმრთელობის</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დაცვის</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სახელმწიფო</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პროგრამების</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ხარჯთეფექტურობის</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გაუმჯობესების</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მიზნით</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შექმნილ სამუშაო</w:t>
      </w:r>
      <w:r w:rsidR="00C94662" w:rsidRPr="00C94662">
        <w:rPr>
          <w:rFonts w:ascii="Times New Roman" w:eastAsia="Times New Roman" w:hAnsi="Times New Roman" w:cs="Times New Roman"/>
          <w:sz w:val="24"/>
          <w:szCs w:val="24"/>
          <w:lang w:val="ka-GE"/>
        </w:rPr>
        <w:t xml:space="preserve"> </w:t>
      </w:r>
      <w:r w:rsidR="00C94662" w:rsidRPr="00C94662">
        <w:rPr>
          <w:rFonts w:eastAsia="Times New Roman" w:cs="Times New Roman"/>
          <w:sz w:val="24"/>
          <w:szCs w:val="24"/>
          <w:lang w:val="ka-GE"/>
        </w:rPr>
        <w:t>ჯგუფის 2019 წლის N1 შეხვედრაზე მიღებული რეკომენდაციები, სსიპ სოციალური მომსახურების სააგენტოს დირექტორის ბ-ნი გიორგი წოწკოლაურის N</w:t>
      </w:r>
      <w:r w:rsidR="00C94662" w:rsidRPr="00C94662">
        <w:rPr>
          <w:rFonts w:ascii="Times New Roman" w:eastAsia="Times New Roman" w:hAnsi="Times New Roman" w:cs="Times New Roman"/>
          <w:sz w:val="24"/>
          <w:szCs w:val="24"/>
          <w:lang w:val="ka-GE"/>
        </w:rPr>
        <w:t>04/46525 02.09.19</w:t>
      </w:r>
      <w:r w:rsidR="00C94662" w:rsidRPr="00C94662">
        <w:rPr>
          <w:rFonts w:eastAsia="Times New Roman" w:cs="Times New Roman"/>
          <w:sz w:val="24"/>
          <w:szCs w:val="24"/>
          <w:lang w:val="ka-GE"/>
        </w:rPr>
        <w:t xml:space="preserve">, N04/43502 15.08.19,  N04/43503 15.08.19 წერილები,  </w:t>
      </w:r>
      <w:r w:rsidR="00C94662" w:rsidRPr="00C94662">
        <w:rPr>
          <w:rFonts w:eastAsia="Times New Roman" w:cs="Times New Roman"/>
          <w:color w:val="000000"/>
          <w:sz w:val="24"/>
          <w:szCs w:val="24"/>
          <w:lang w:val="ka-GE"/>
        </w:rPr>
        <w:t>საქართველოს განათლების, მეცნიერების, კულტურისა და სპორტის მინისტრის მოადგილის ქ-ნი ირინე აბულაძის 2018 წლის 8 ნოემბრის MES 0 18 01438655 და 2019 წლის 21 აგვისტოს MES 3 19 01072725 წერილები</w:t>
      </w:r>
      <w:r w:rsidR="00437654" w:rsidRPr="00437654">
        <w:rPr>
          <w:rFonts w:eastAsia="Times New Roman" w:cs="Times New Roman"/>
          <w:color w:val="000000"/>
          <w:sz w:val="24"/>
          <w:szCs w:val="24"/>
          <w:lang w:val="ka-GE"/>
        </w:rPr>
        <w:t>.</w:t>
      </w:r>
    </w:p>
    <w:p w:rsidR="009756D2" w:rsidRPr="009756D2" w:rsidRDefault="00FB15E9" w:rsidP="009756D2">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Times New Roman" w:eastAsia="Times New Roman" w:hAnsi="Times New Roman" w:cs="Times New Roman"/>
          <w:sz w:val="20"/>
          <w:szCs w:val="20"/>
        </w:rPr>
      </w:pPr>
      <w:r w:rsidRPr="009756D2">
        <w:rPr>
          <w:rFonts w:eastAsia="Times New Roman" w:cs="Times New Roman"/>
          <w:sz w:val="24"/>
          <w:szCs w:val="24"/>
          <w:lang w:val="ka-GE"/>
        </w:rPr>
        <w:t xml:space="preserve">განისაზღვრა </w:t>
      </w:r>
      <w:r w:rsidR="00C94662" w:rsidRPr="009756D2">
        <w:rPr>
          <w:rFonts w:eastAsia="Times New Roman" w:cs="Times New Roman"/>
          <w:sz w:val="24"/>
          <w:szCs w:val="24"/>
          <w:lang w:val="ka-GE"/>
        </w:rPr>
        <w:t>კარდიოქირურგია/</w:t>
      </w:r>
      <w:r w:rsidRPr="009756D2">
        <w:rPr>
          <w:rFonts w:eastAsia="Times New Roman" w:cs="Times New Roman"/>
          <w:sz w:val="24"/>
          <w:szCs w:val="24"/>
          <w:lang w:val="ka-GE"/>
        </w:rPr>
        <w:t xml:space="preserve"> </w:t>
      </w:r>
      <w:r w:rsidR="00C94662" w:rsidRPr="009756D2">
        <w:rPr>
          <w:rFonts w:eastAsia="Times New Roman" w:cs="Times New Roman"/>
          <w:sz w:val="24"/>
          <w:szCs w:val="24"/>
          <w:lang w:val="ka-GE"/>
        </w:rPr>
        <w:t>ინტერვენციული კარდიოლოგია/</w:t>
      </w:r>
      <w:r w:rsidRPr="009756D2">
        <w:rPr>
          <w:rFonts w:eastAsia="Times New Roman" w:cs="Times New Roman"/>
          <w:sz w:val="24"/>
          <w:szCs w:val="24"/>
          <w:lang w:val="ka-GE"/>
        </w:rPr>
        <w:t xml:space="preserve"> </w:t>
      </w:r>
      <w:r w:rsidR="00C94662" w:rsidRPr="009756D2">
        <w:rPr>
          <w:rFonts w:eastAsia="Times New Roman" w:cs="Times New Roman"/>
          <w:sz w:val="24"/>
          <w:szCs w:val="24"/>
          <w:lang w:val="ka-GE"/>
        </w:rPr>
        <w:t xml:space="preserve">რითმოლოგიის </w:t>
      </w:r>
      <w:proofErr w:type="spellStart"/>
      <w:r w:rsidR="00C94662" w:rsidRPr="009756D2">
        <w:rPr>
          <w:rFonts w:eastAsia="Times New Roman" w:cs="Times New Roman"/>
          <w:sz w:val="24"/>
          <w:szCs w:val="24"/>
        </w:rPr>
        <w:t>ნოზოლოგიური</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ჯგუფების</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დიაგნოზთან</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შეჭიდული</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მსგავსი</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სირთულის</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შინაარსობრივად</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ერთგვარი</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ინტერვენციების</w:t>
      </w:r>
      <w:proofErr w:type="spellEnd"/>
      <w:r w:rsidR="00C94662" w:rsidRPr="009756D2">
        <w:rPr>
          <w:rFonts w:eastAsia="Times New Roman" w:cs="Times New Roman"/>
          <w:sz w:val="24"/>
          <w:szCs w:val="24"/>
        </w:rPr>
        <w:t xml:space="preserve"> </w:t>
      </w:r>
      <w:proofErr w:type="spellStart"/>
      <w:r w:rsidR="00C94662" w:rsidRPr="009756D2">
        <w:rPr>
          <w:rFonts w:eastAsia="Times New Roman" w:cs="Times New Roman"/>
          <w:sz w:val="24"/>
          <w:szCs w:val="24"/>
        </w:rPr>
        <w:t>დაჯგუფება</w:t>
      </w:r>
      <w:proofErr w:type="spellEnd"/>
      <w:r w:rsidR="00C94662" w:rsidRPr="009756D2">
        <w:rPr>
          <w:rFonts w:eastAsia="Times New Roman" w:cs="Times New Roman"/>
          <w:sz w:val="24"/>
          <w:szCs w:val="24"/>
        </w:rPr>
        <w:t xml:space="preserve">) </w:t>
      </w:r>
      <w:r w:rsidR="00C94662" w:rsidRPr="009756D2">
        <w:rPr>
          <w:rFonts w:eastAsia="Times New Roman" w:cs="Times New Roman"/>
          <w:sz w:val="24"/>
          <w:szCs w:val="24"/>
          <w:lang w:val="ka-GE"/>
        </w:rPr>
        <w:t>ტარიფი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00C94662" w:rsidRPr="009756D2">
        <w:rPr>
          <w:rFonts w:eastAsia="Times New Roman" w:cs="Times New Roman"/>
          <w:sz w:val="24"/>
          <w:szCs w:val="24"/>
        </w:rPr>
        <w:t xml:space="preserve">. </w:t>
      </w:r>
    </w:p>
    <w:p w:rsidR="00C94662" w:rsidRPr="009756D2" w:rsidRDefault="009756D2" w:rsidP="00975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360"/>
        <w:jc w:val="both"/>
        <w:rPr>
          <w:rFonts w:ascii="Times New Roman" w:eastAsia="Times New Roman" w:hAnsi="Times New Roman" w:cs="Times New Roman"/>
          <w:sz w:val="20"/>
          <w:szCs w:val="20"/>
        </w:rPr>
      </w:pPr>
      <w:r w:rsidRPr="009756D2">
        <w:rPr>
          <w:rFonts w:eastAsia="Times New Roman" w:cs="Times New Roman"/>
          <w:sz w:val="24"/>
          <w:szCs w:val="24"/>
          <w:lang w:val="ka-GE"/>
        </w:rPr>
        <w:t>განისაზღვრა</w:t>
      </w:r>
      <w:r w:rsidR="00CD326B">
        <w:rPr>
          <w:rFonts w:eastAsia="Times New Roman" w:cs="Times New Roman"/>
          <w:sz w:val="24"/>
          <w:szCs w:val="24"/>
          <w:lang w:val="ka-GE"/>
        </w:rPr>
        <w:t xml:space="preserve">, რომ </w:t>
      </w:r>
      <w:r w:rsidRPr="009756D2">
        <w:rPr>
          <w:rFonts w:eastAsia="Times New Roman" w:cs="Times New Roman"/>
          <w:sz w:val="24"/>
          <w:szCs w:val="24"/>
          <w:lang w:val="ka-GE"/>
        </w:rPr>
        <w:t xml:space="preserve"> </w:t>
      </w:r>
      <w:r w:rsidR="00C94662" w:rsidRPr="009756D2">
        <w:rPr>
          <w:rFonts w:eastAsia="Times New Roman" w:cs="Times New Roman"/>
          <w:sz w:val="24"/>
          <w:szCs w:val="24"/>
          <w:lang w:val="ka-GE"/>
        </w:rPr>
        <w:t>კარდიოქირურგია</w:t>
      </w:r>
      <w:r w:rsidR="00CD326B">
        <w:rPr>
          <w:rFonts w:eastAsia="Times New Roman" w:cs="Times New Roman"/>
          <w:sz w:val="24"/>
          <w:szCs w:val="24"/>
          <w:lang w:val="ka-GE"/>
        </w:rPr>
        <w:t xml:space="preserve"> </w:t>
      </w:r>
      <w:r w:rsidR="00C94662" w:rsidRPr="009756D2">
        <w:rPr>
          <w:rFonts w:eastAsia="Times New Roman" w:cs="Times New Roman"/>
          <w:sz w:val="24"/>
          <w:szCs w:val="24"/>
          <w:lang w:val="ka-GE"/>
        </w:rPr>
        <w:t xml:space="preserve">/ინტერვენციული </w:t>
      </w:r>
      <w:r w:rsidR="00CD326B">
        <w:rPr>
          <w:rFonts w:eastAsia="Times New Roman" w:cs="Times New Roman"/>
          <w:sz w:val="24"/>
          <w:szCs w:val="24"/>
          <w:lang w:val="ka-GE"/>
        </w:rPr>
        <w:t>კარდიოლოგია/რითმოლოგიის სერვისი</w:t>
      </w:r>
      <w:r w:rsidR="00C94662" w:rsidRPr="009756D2">
        <w:rPr>
          <w:rFonts w:eastAsia="Times New Roman" w:cs="Times New Roman"/>
          <w:sz w:val="24"/>
          <w:szCs w:val="24"/>
          <w:lang w:val="ka-GE"/>
        </w:rPr>
        <w:t xml:space="preserve"> ანაზღაურდება </w:t>
      </w:r>
      <w:r w:rsidRPr="009756D2">
        <w:rPr>
          <w:rFonts w:eastAsia="Times New Roman" w:cs="Times New Roman"/>
          <w:sz w:val="24"/>
          <w:szCs w:val="24"/>
          <w:lang w:val="ka-GE"/>
        </w:rPr>
        <w:t xml:space="preserve">ტარიფის შესაბამისად, ნაცვლად </w:t>
      </w:r>
      <w:r w:rsidR="00C94662" w:rsidRPr="009756D2">
        <w:rPr>
          <w:rFonts w:eastAsia="Times New Roman" w:cs="Times New Roman"/>
          <w:sz w:val="24"/>
          <w:szCs w:val="24"/>
          <w:lang w:val="ka-GE"/>
        </w:rPr>
        <w:t>ტარიფის არეალის</w:t>
      </w:r>
      <w:r w:rsidRPr="009756D2">
        <w:rPr>
          <w:rFonts w:eastAsia="Times New Roman" w:cs="Times New Roman"/>
          <w:sz w:val="24"/>
          <w:szCs w:val="24"/>
          <w:lang w:val="ka-GE"/>
        </w:rPr>
        <w:t xml:space="preserve">ა, რომელიც გულისხმობდა </w:t>
      </w:r>
      <w:r w:rsidR="00C94662" w:rsidRPr="009756D2">
        <w:rPr>
          <w:rFonts w:eastAsia="Times New Roman" w:cs="Times New Roman"/>
          <w:sz w:val="24"/>
          <w:szCs w:val="24"/>
          <w:lang w:val="ka-GE"/>
        </w:rPr>
        <w:t>შესაბამისი პროცენტით და თანაგადახდის შევსება</w:t>
      </w:r>
      <w:r w:rsidRPr="009756D2">
        <w:rPr>
          <w:rFonts w:eastAsia="Times New Roman" w:cs="Times New Roman"/>
          <w:sz w:val="24"/>
          <w:szCs w:val="24"/>
          <w:lang w:val="ka-GE"/>
        </w:rPr>
        <w:t>ს</w:t>
      </w:r>
      <w:r w:rsidR="00C94662" w:rsidRPr="009756D2">
        <w:rPr>
          <w:rFonts w:eastAsia="Times New Roman" w:cs="Times New Roman"/>
          <w:sz w:val="24"/>
          <w:szCs w:val="24"/>
          <w:lang w:val="ka-GE"/>
        </w:rPr>
        <w:t xml:space="preserve"> მოსარგებლის მიერ მიმწოდებლის მიერ მოწოდებულ ტარიფამდე. ამ შემთხვევებში სახელმწიფო ხარჯები </w:t>
      </w:r>
      <w:r w:rsidRPr="009756D2">
        <w:rPr>
          <w:rFonts w:eastAsia="Times New Roman" w:cs="Times New Roman"/>
          <w:sz w:val="24"/>
          <w:szCs w:val="24"/>
          <w:lang w:val="ka-GE"/>
        </w:rPr>
        <w:t xml:space="preserve">იყო </w:t>
      </w:r>
      <w:r w:rsidR="00C94662" w:rsidRPr="009756D2">
        <w:rPr>
          <w:rFonts w:eastAsia="Times New Roman" w:cs="Times New Roman"/>
          <w:sz w:val="24"/>
          <w:szCs w:val="24"/>
          <w:lang w:val="ka-GE"/>
        </w:rPr>
        <w:t>ლიმიტირებული, თუმცა, კარდიოქირურგიული ოპერაციების მაღალი ფასის გათვალისწინებით, ბენეფიციარს უწევ</w:t>
      </w:r>
      <w:r w:rsidRPr="009756D2">
        <w:rPr>
          <w:rFonts w:eastAsia="Times New Roman" w:cs="Times New Roman"/>
          <w:sz w:val="24"/>
          <w:szCs w:val="24"/>
          <w:lang w:val="ka-GE"/>
        </w:rPr>
        <w:t>და</w:t>
      </w:r>
      <w:r w:rsidR="00C94662" w:rsidRPr="009756D2">
        <w:rPr>
          <w:rFonts w:eastAsia="Times New Roman" w:cs="Times New Roman"/>
          <w:sz w:val="24"/>
          <w:szCs w:val="24"/>
          <w:lang w:val="ka-GE"/>
        </w:rPr>
        <w:t xml:space="preserve"> მაღალი თანაგადახდა, განსაკუთრებით, იმ შემთხვევებში, როდესაც მიმწოდებლის ფასი გაცილებით მაღალი</w:t>
      </w:r>
      <w:r w:rsidRPr="009756D2">
        <w:rPr>
          <w:rFonts w:eastAsia="Times New Roman" w:cs="Times New Roman"/>
          <w:sz w:val="24"/>
          <w:szCs w:val="24"/>
          <w:lang w:val="ka-GE"/>
        </w:rPr>
        <w:t xml:space="preserve"> იყო</w:t>
      </w:r>
      <w:r w:rsidR="00C94662" w:rsidRPr="009756D2">
        <w:rPr>
          <w:rFonts w:eastAsia="Times New Roman" w:cs="Times New Roman"/>
          <w:sz w:val="24"/>
          <w:szCs w:val="24"/>
          <w:lang w:val="ka-GE"/>
        </w:rPr>
        <w:t xml:space="preserve"> სახელმწიფო ტარიფზე.  </w:t>
      </w:r>
    </w:p>
    <w:p w:rsidR="00C94662" w:rsidRPr="00437654" w:rsidRDefault="00437654" w:rsidP="006035BC">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0"/>
          <w:szCs w:val="20"/>
        </w:rPr>
      </w:pPr>
      <w:r w:rsidRPr="00437654">
        <w:rPr>
          <w:rFonts w:eastAsia="Times New Roman" w:cs="Times New Roman"/>
          <w:sz w:val="24"/>
          <w:szCs w:val="24"/>
          <w:lang w:val="ka-GE"/>
        </w:rPr>
        <w:t xml:space="preserve">განისაზღვრა კრიტიკული მდგომარეობების/ინტენსიური თერაპიის საწოლ/დღის ტარიფები - </w:t>
      </w:r>
      <w:r w:rsidR="00C94662" w:rsidRPr="00437654">
        <w:rPr>
          <w:rFonts w:eastAsia="Times New Roman" w:cs="Times New Roman"/>
          <w:sz w:val="24"/>
          <w:szCs w:val="24"/>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სოციალური მომსახურების სააგენტოს მიერ მოხდა ახალი ტარიფების გამოთვლა აღნიშნულ მომსახურებაზე. </w:t>
      </w:r>
    </w:p>
    <w:p w:rsidR="00437654" w:rsidRPr="00437654" w:rsidRDefault="00437654" w:rsidP="00437654">
      <w:pPr>
        <w:pStyle w:val="ListParagraph"/>
        <w:spacing w:before="100" w:beforeAutospacing="1" w:after="100" w:afterAutospacing="1" w:line="240" w:lineRule="auto"/>
        <w:ind w:left="360"/>
        <w:jc w:val="both"/>
        <w:rPr>
          <w:rFonts w:ascii="Times New Roman" w:eastAsia="Times New Roman" w:hAnsi="Times New Roman" w:cs="Times New Roman"/>
          <w:sz w:val="20"/>
          <w:szCs w:val="20"/>
        </w:rPr>
      </w:pPr>
    </w:p>
    <w:p w:rsidR="00437654" w:rsidRDefault="00437654" w:rsidP="0080412F">
      <w:pPr>
        <w:pStyle w:val="ListParagraph"/>
        <w:rPr>
          <w:lang w:val="ka-GE"/>
        </w:rPr>
      </w:pPr>
    </w:p>
    <w:p w:rsidR="00D54461" w:rsidRPr="00437654" w:rsidRDefault="00D54461" w:rsidP="00D54461">
      <w:pPr>
        <w:pStyle w:val="ListParagraph"/>
        <w:ind w:left="0"/>
        <w:jc w:val="both"/>
        <w:rPr>
          <w:lang w:val="ka-GE"/>
        </w:rPr>
      </w:pPr>
      <w:r w:rsidRPr="00CD326B">
        <w:rPr>
          <w:rFonts w:eastAsia="Times New Roman" w:cs="Times New Roman"/>
          <w:sz w:val="24"/>
          <w:szCs w:val="24"/>
          <w:lang w:val="ka-GE"/>
        </w:rPr>
        <w:t>ხარისხიანი და საყოველთაოდ ხელმისაწვდომი ჯანდაცვის სისტემის ეფექტურობის ღონისძიებების განხორციელებასთან დაკავშირებული საკითხების განხილვის მიზნით, გადაწყვეტილების მიღების პროცესში დაინტერესებული მხარეების ჩართულობის უზრუნველსაყოფად, სამინისტრომ ჩამოაყალიბა სათათბირო ორგანო </w:t>
      </w:r>
      <w:r w:rsidRPr="00CD326B">
        <w:rPr>
          <w:rFonts w:eastAsia="Times New Roman" w:cs="Times New Roman"/>
          <w:b/>
          <w:bCs/>
          <w:sz w:val="24"/>
          <w:szCs w:val="24"/>
          <w:lang w:val="ka-GE"/>
        </w:rPr>
        <w:t xml:space="preserve">საყოველთაო ჯანდაცვის საბჭო. </w:t>
      </w:r>
      <w:r w:rsidRPr="00CD326B">
        <w:rPr>
          <w:rFonts w:eastAsia="Times New Roman" w:cs="Times New Roman"/>
          <w:sz w:val="24"/>
          <w:szCs w:val="24"/>
          <w:lang w:val="ka-GE"/>
        </w:rPr>
        <w:t>(</w:t>
      </w:r>
      <w:r w:rsidRPr="00CD326B">
        <w:rPr>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 სათათბირო ორგანოს საყოველთაო ჯანდაცვის საბჭოს შექმნისა და მისი დებულების დამტკიცების შესახებ“ </w:t>
      </w:r>
      <w:r w:rsidRPr="00CD326B">
        <w:rPr>
          <w:rFonts w:cs="Sylfaen"/>
          <w:lang w:val="ka-GE"/>
        </w:rPr>
        <w:t>საქართველოს</w:t>
      </w:r>
      <w:r w:rsidRPr="00CD326B">
        <w:rPr>
          <w:lang w:val="ka-GE"/>
        </w:rPr>
        <w:t xml:space="preserve"> </w:t>
      </w:r>
      <w:r w:rsidRPr="00CD326B">
        <w:rPr>
          <w:rFonts w:cs="Sylfaen"/>
          <w:lang w:val="ka-GE"/>
        </w:rPr>
        <w:t>ოკუპირებული</w:t>
      </w:r>
      <w:r w:rsidRPr="00CD326B">
        <w:rPr>
          <w:lang w:val="ka-GE"/>
        </w:rPr>
        <w:t xml:space="preserve"> </w:t>
      </w:r>
      <w:r w:rsidRPr="00CD326B">
        <w:rPr>
          <w:rFonts w:cs="Sylfaen"/>
          <w:lang w:val="ka-GE"/>
        </w:rPr>
        <w:t>ტერიტორიებიდან</w:t>
      </w:r>
      <w:r w:rsidRPr="00CD326B">
        <w:rPr>
          <w:lang w:val="ka-GE"/>
        </w:rPr>
        <w:t xml:space="preserve"> </w:t>
      </w:r>
      <w:r w:rsidRPr="00CD326B">
        <w:rPr>
          <w:rFonts w:cs="Sylfaen"/>
          <w:lang w:val="ka-GE"/>
        </w:rPr>
        <w:t>დევნილთა</w:t>
      </w:r>
      <w:r w:rsidRPr="00CD326B">
        <w:rPr>
          <w:lang w:val="ka-GE"/>
        </w:rPr>
        <w:t xml:space="preserve">, </w:t>
      </w:r>
      <w:r w:rsidRPr="00CD326B">
        <w:rPr>
          <w:rFonts w:cs="Sylfaen"/>
          <w:lang w:val="ka-GE"/>
        </w:rPr>
        <w:t>შრომის</w:t>
      </w:r>
      <w:r w:rsidRPr="00CD326B">
        <w:rPr>
          <w:lang w:val="ka-GE"/>
        </w:rPr>
        <w:t xml:space="preserve">, </w:t>
      </w:r>
      <w:r w:rsidRPr="00CD326B">
        <w:rPr>
          <w:rFonts w:cs="Sylfaen"/>
          <w:lang w:val="ka-GE"/>
        </w:rPr>
        <w:t>ჯანმრთელობისა</w:t>
      </w:r>
      <w:r w:rsidRPr="00CD326B">
        <w:rPr>
          <w:lang w:val="ka-GE"/>
        </w:rPr>
        <w:t xml:space="preserve"> </w:t>
      </w:r>
      <w:r w:rsidRPr="00CD326B">
        <w:rPr>
          <w:rFonts w:cs="Sylfaen"/>
          <w:lang w:val="ka-GE"/>
        </w:rPr>
        <w:t>და</w:t>
      </w:r>
      <w:r w:rsidRPr="00CD326B">
        <w:rPr>
          <w:lang w:val="ka-GE"/>
        </w:rPr>
        <w:t xml:space="preserve"> </w:t>
      </w:r>
      <w:r w:rsidRPr="00CD326B">
        <w:rPr>
          <w:rFonts w:cs="Sylfaen"/>
          <w:lang w:val="ka-GE"/>
        </w:rPr>
        <w:t>სოციალური</w:t>
      </w:r>
      <w:r w:rsidRPr="00CD326B">
        <w:rPr>
          <w:lang w:val="ka-GE"/>
        </w:rPr>
        <w:t xml:space="preserve"> </w:t>
      </w:r>
      <w:r w:rsidRPr="00CD326B">
        <w:rPr>
          <w:rFonts w:cs="Sylfaen"/>
          <w:lang w:val="ka-GE"/>
        </w:rPr>
        <w:t>დაცვის</w:t>
      </w:r>
      <w:r w:rsidRPr="00CD326B">
        <w:rPr>
          <w:lang w:val="ka-GE"/>
        </w:rPr>
        <w:t xml:space="preserve"> </w:t>
      </w:r>
      <w:r w:rsidRPr="00CD326B">
        <w:rPr>
          <w:rFonts w:cs="Sylfaen"/>
          <w:lang w:val="ka-GE"/>
        </w:rPr>
        <w:t>მინისტრის</w:t>
      </w:r>
      <w:r w:rsidRPr="00CD326B">
        <w:rPr>
          <w:lang w:val="ka-GE"/>
        </w:rPr>
        <w:t xml:space="preserve"> 2019 </w:t>
      </w:r>
      <w:r w:rsidRPr="00CD326B">
        <w:rPr>
          <w:rFonts w:cs="Sylfaen"/>
          <w:lang w:val="ka-GE"/>
        </w:rPr>
        <w:t>წლის</w:t>
      </w:r>
      <w:r w:rsidRPr="00CD326B">
        <w:rPr>
          <w:lang w:val="ka-GE"/>
        </w:rPr>
        <w:t xml:space="preserve"> 17 </w:t>
      </w:r>
      <w:r w:rsidRPr="00CD326B">
        <w:rPr>
          <w:rFonts w:cs="Sylfaen"/>
          <w:lang w:val="ka-GE"/>
        </w:rPr>
        <w:t>დეკემბრის</w:t>
      </w:r>
      <w:r w:rsidRPr="00CD326B">
        <w:rPr>
          <w:lang w:val="ka-GE"/>
        </w:rPr>
        <w:t xml:space="preserve">  N01-131/</w:t>
      </w:r>
      <w:r w:rsidRPr="00CD326B">
        <w:rPr>
          <w:rFonts w:cs="Sylfaen"/>
          <w:lang w:val="ka-GE"/>
        </w:rPr>
        <w:t>ნ</w:t>
      </w:r>
      <w:r w:rsidRPr="00CD326B">
        <w:rPr>
          <w:lang w:val="ka-GE"/>
        </w:rPr>
        <w:t xml:space="preserve"> </w:t>
      </w:r>
      <w:r w:rsidRPr="00CD326B">
        <w:rPr>
          <w:rFonts w:cs="Sylfaen"/>
          <w:lang w:val="ka-GE"/>
        </w:rPr>
        <w:t xml:space="preserve">ბრძანება; </w:t>
      </w:r>
      <w:r w:rsidRPr="00CD326B">
        <w:rPr>
          <w:lang w:val="ka-GE"/>
        </w:rPr>
        <w:t>N01-12736 13.12.19 მოხსენებითი ბარათი))</w:t>
      </w:r>
    </w:p>
    <w:p w:rsidR="00D54461" w:rsidRDefault="00D54461" w:rsidP="00D54461">
      <w:pPr>
        <w:spacing w:after="0" w:line="240" w:lineRule="auto"/>
        <w:jc w:val="both"/>
        <w:rPr>
          <w:rFonts w:eastAsia="Times New Roman" w:cs="Times New Roman"/>
          <w:color w:val="556064"/>
          <w:sz w:val="24"/>
          <w:szCs w:val="24"/>
          <w:lang w:val="ka-GE"/>
        </w:rPr>
      </w:pPr>
    </w:p>
    <w:p w:rsidR="00D54461" w:rsidRPr="00CD326B" w:rsidRDefault="00D54461" w:rsidP="00D54461">
      <w:pPr>
        <w:spacing w:after="0" w:line="240" w:lineRule="auto"/>
        <w:jc w:val="both"/>
        <w:rPr>
          <w:rFonts w:ascii="Times New Roman" w:eastAsia="Times New Roman" w:hAnsi="Times New Roman" w:cs="Times New Roman"/>
          <w:sz w:val="18"/>
          <w:szCs w:val="18"/>
          <w:lang w:val="ka-GE"/>
        </w:rPr>
      </w:pPr>
      <w:r w:rsidRPr="00CD326B">
        <w:rPr>
          <w:rFonts w:eastAsia="Times New Roman" w:cs="Times New Roman"/>
          <w:sz w:val="24"/>
          <w:szCs w:val="24"/>
          <w:lang w:val="ka-GE"/>
        </w:rPr>
        <w:t>საბჭოს მუშაობის ხელშეწყობისთვის ეტაპობრივად ყალიბდება თემატური სამუშო ჯგუფები  სხვადასხვა მიმართულებით.</w:t>
      </w:r>
    </w:p>
    <w:p w:rsidR="00D54461" w:rsidRPr="00D54461" w:rsidRDefault="00D54461" w:rsidP="00D54461">
      <w:pPr>
        <w:spacing w:after="0" w:line="240" w:lineRule="auto"/>
        <w:jc w:val="both"/>
        <w:rPr>
          <w:rFonts w:ascii="Times New Roman" w:eastAsia="Times New Roman" w:hAnsi="Times New Roman" w:cs="Times New Roman"/>
          <w:color w:val="556064"/>
          <w:sz w:val="18"/>
          <w:szCs w:val="18"/>
          <w:lang w:val="ka-GE"/>
        </w:rPr>
      </w:pPr>
    </w:p>
    <w:p w:rsidR="00FE7B26" w:rsidRPr="002F5CE5" w:rsidRDefault="00FE7B26" w:rsidP="00FE7B26">
      <w:pPr>
        <w:spacing w:after="0" w:line="240" w:lineRule="auto"/>
        <w:jc w:val="both"/>
        <w:rPr>
          <w:rFonts w:ascii="Times New Roman" w:eastAsia="Times New Roman" w:hAnsi="Times New Roman" w:cs="Times New Roman"/>
          <w:b/>
          <w:sz w:val="18"/>
          <w:szCs w:val="18"/>
        </w:rPr>
      </w:pPr>
      <w:r w:rsidRPr="003735C7">
        <w:rPr>
          <w:rFonts w:cs="Sylfaen"/>
          <w:b/>
          <w:noProof/>
          <w:lang w:val="ka-GE"/>
        </w:rPr>
        <w:t>ამ ეტაპისთვის შექმნილია</w:t>
      </w:r>
      <w:r w:rsidR="00D54461">
        <w:rPr>
          <w:rFonts w:cs="Sylfaen"/>
          <w:b/>
          <w:noProof/>
          <w:lang w:val="ka-GE"/>
        </w:rPr>
        <w:t xml:space="preserve"> შემდეგი</w:t>
      </w:r>
      <w:r w:rsidRPr="003735C7">
        <w:rPr>
          <w:rFonts w:cs="Sylfaen"/>
          <w:b/>
          <w:noProof/>
          <w:lang w:val="ka-GE"/>
        </w:rPr>
        <w:t xml:space="preserve"> თემატური ჯგუფ</w:t>
      </w:r>
      <w:r w:rsidR="00D54461">
        <w:rPr>
          <w:rFonts w:cs="Sylfaen"/>
          <w:b/>
          <w:noProof/>
          <w:lang w:val="ka-GE"/>
        </w:rPr>
        <w:t>ებ</w:t>
      </w:r>
      <w:r w:rsidRPr="003735C7">
        <w:rPr>
          <w:rFonts w:cs="Sylfaen"/>
          <w:b/>
          <w:noProof/>
          <w:lang w:val="ka-GE"/>
        </w:rPr>
        <w:t>ი</w:t>
      </w:r>
      <w:r w:rsidR="00D54461">
        <w:rPr>
          <w:rFonts w:cs="Sylfaen"/>
          <w:b/>
          <w:noProof/>
          <w:lang w:val="ka-GE"/>
        </w:rPr>
        <w:t>:</w:t>
      </w:r>
    </w:p>
    <w:p w:rsidR="00FE7B26" w:rsidRPr="003735C7" w:rsidRDefault="00FE7B26" w:rsidP="00FE7B26">
      <w:pPr>
        <w:pStyle w:val="ListParagraph"/>
        <w:numPr>
          <w:ilvl w:val="0"/>
          <w:numId w:val="19"/>
        </w:numPr>
        <w:spacing w:line="256" w:lineRule="auto"/>
        <w:jc w:val="both"/>
        <w:rPr>
          <w:rFonts w:cs="Sylfaen"/>
          <w:b/>
          <w:noProof/>
          <w:lang w:val="ka-GE"/>
        </w:rPr>
      </w:pPr>
      <w:r w:rsidRPr="003735C7">
        <w:rPr>
          <w:b/>
          <w:lang w:val="ka-GE"/>
        </w:rPr>
        <w:t>კარდიოქირურგია/</w:t>
      </w:r>
      <w:r w:rsidR="00D54461">
        <w:rPr>
          <w:b/>
          <w:lang w:val="ka-GE"/>
        </w:rPr>
        <w:t xml:space="preserve"> </w:t>
      </w:r>
      <w:r w:rsidRPr="003735C7">
        <w:rPr>
          <w:b/>
          <w:lang w:val="ka-GE"/>
        </w:rPr>
        <w:t>ინტერვენციული კარდიოლოგია/</w:t>
      </w:r>
      <w:r w:rsidR="00D54461">
        <w:rPr>
          <w:b/>
          <w:lang w:val="ka-GE"/>
        </w:rPr>
        <w:t xml:space="preserve"> </w:t>
      </w:r>
      <w:r w:rsidRPr="003735C7">
        <w:rPr>
          <w:b/>
          <w:lang w:val="ka-GE"/>
        </w:rPr>
        <w:t>არითმოლოგიის მიმართულებით</w:t>
      </w:r>
      <w:r>
        <w:rPr>
          <w:b/>
          <w:lang w:val="ka-GE"/>
        </w:rPr>
        <w:t>;</w:t>
      </w:r>
    </w:p>
    <w:p w:rsidR="00D54461" w:rsidRPr="00D54461" w:rsidRDefault="00FE7B26" w:rsidP="00FE7B26">
      <w:pPr>
        <w:pStyle w:val="ListParagraph"/>
        <w:numPr>
          <w:ilvl w:val="0"/>
          <w:numId w:val="19"/>
        </w:numPr>
        <w:spacing w:line="256" w:lineRule="auto"/>
        <w:jc w:val="both"/>
        <w:rPr>
          <w:rFonts w:cs="Sylfaen"/>
          <w:b/>
          <w:noProof/>
          <w:lang w:val="ka-GE"/>
        </w:rPr>
      </w:pPr>
      <w:r w:rsidRPr="003735C7">
        <w:rPr>
          <w:b/>
          <w:lang w:val="ka-GE"/>
        </w:rPr>
        <w:t>კრიტიკული მედიცინის მიმართულებით</w:t>
      </w:r>
      <w:r w:rsidR="00D54461">
        <w:rPr>
          <w:b/>
          <w:lang w:val="ka-GE"/>
        </w:rPr>
        <w:t>;</w:t>
      </w:r>
    </w:p>
    <w:p w:rsidR="00D54461" w:rsidRDefault="00FE7B26" w:rsidP="00FE7B26">
      <w:pPr>
        <w:pStyle w:val="ListParagraph"/>
        <w:numPr>
          <w:ilvl w:val="0"/>
          <w:numId w:val="19"/>
        </w:numPr>
        <w:spacing w:line="256" w:lineRule="auto"/>
        <w:jc w:val="both"/>
        <w:rPr>
          <w:rFonts w:cs="Sylfaen"/>
          <w:b/>
          <w:noProof/>
          <w:lang w:val="ka-GE"/>
        </w:rPr>
      </w:pPr>
      <w:r w:rsidRPr="00D54461">
        <w:rPr>
          <w:rFonts w:cs="Sylfaen"/>
          <w:b/>
          <w:noProof/>
          <w:lang w:val="ka-GE"/>
        </w:rPr>
        <w:t>ნეიროქირურგიის</w:t>
      </w:r>
      <w:r w:rsidR="00D54461">
        <w:rPr>
          <w:rFonts w:cs="Sylfaen"/>
          <w:b/>
          <w:noProof/>
          <w:lang w:val="ka-GE"/>
        </w:rPr>
        <w:t xml:space="preserve"> მიმართულებით;</w:t>
      </w:r>
    </w:p>
    <w:p w:rsidR="00D54461" w:rsidRDefault="00D54461" w:rsidP="00FE7B26">
      <w:pPr>
        <w:pStyle w:val="ListParagraph"/>
        <w:numPr>
          <w:ilvl w:val="0"/>
          <w:numId w:val="19"/>
        </w:numPr>
        <w:spacing w:line="256" w:lineRule="auto"/>
        <w:jc w:val="both"/>
        <w:rPr>
          <w:rFonts w:cs="Sylfaen"/>
          <w:b/>
          <w:noProof/>
          <w:lang w:val="ka-GE"/>
        </w:rPr>
      </w:pPr>
      <w:r>
        <w:rPr>
          <w:rFonts w:cs="Sylfaen"/>
          <w:b/>
          <w:noProof/>
          <w:lang w:val="ka-GE"/>
        </w:rPr>
        <w:t>ო</w:t>
      </w:r>
      <w:r w:rsidR="00FE7B26" w:rsidRPr="00D54461">
        <w:rPr>
          <w:rFonts w:cs="Sylfaen"/>
          <w:b/>
          <w:noProof/>
          <w:lang w:val="ka-GE"/>
        </w:rPr>
        <w:t>ფთალმოლოგიის</w:t>
      </w:r>
      <w:r>
        <w:rPr>
          <w:rFonts w:cs="Sylfaen"/>
          <w:b/>
          <w:noProof/>
          <w:lang w:val="ka-GE"/>
        </w:rPr>
        <w:t xml:space="preserve"> მიმართულებით;</w:t>
      </w:r>
      <w:r w:rsidR="00FE7B26" w:rsidRPr="00D54461">
        <w:rPr>
          <w:rFonts w:cs="Sylfaen"/>
          <w:b/>
          <w:noProof/>
          <w:lang w:val="ka-GE"/>
        </w:rPr>
        <w:t xml:space="preserve"> </w:t>
      </w:r>
    </w:p>
    <w:p w:rsidR="00D54461" w:rsidRDefault="00D54461" w:rsidP="00FE7B26">
      <w:pPr>
        <w:pStyle w:val="ListParagraph"/>
        <w:numPr>
          <w:ilvl w:val="0"/>
          <w:numId w:val="19"/>
        </w:numPr>
        <w:spacing w:line="256" w:lineRule="auto"/>
        <w:jc w:val="both"/>
        <w:rPr>
          <w:rFonts w:cs="Sylfaen"/>
          <w:b/>
          <w:noProof/>
          <w:lang w:val="ka-GE"/>
        </w:rPr>
      </w:pPr>
      <w:r>
        <w:rPr>
          <w:rFonts w:cs="Sylfaen"/>
          <w:b/>
          <w:noProof/>
          <w:lang w:val="ka-GE"/>
        </w:rPr>
        <w:t>ოტორინოლარინგოლოგიის მიმსართულებით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ანგიოლოგიის </w:t>
      </w:r>
      <w:r w:rsidRPr="00CD326B">
        <w:rPr>
          <w:b/>
          <w:lang w:val="ka-GE"/>
        </w:rPr>
        <w:t>მიმართულებით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გინეკოლოგიის </w:t>
      </w:r>
      <w:r w:rsidRPr="00CD326B">
        <w:rPr>
          <w:b/>
          <w:lang w:val="ka-GE"/>
        </w:rPr>
        <w:t>მიმართულებით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ზოგადი ქირურგიის </w:t>
      </w:r>
      <w:r w:rsidRPr="00CD326B">
        <w:rPr>
          <w:b/>
          <w:lang w:val="ka-GE"/>
        </w:rPr>
        <w:t>მიმართულებით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მამოლოგიის </w:t>
      </w:r>
      <w:r w:rsidRPr="00CD326B">
        <w:rPr>
          <w:b/>
          <w:lang w:val="ka-GE"/>
        </w:rPr>
        <w:t>მიმართულებით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ორთოპედია/ტრავმატოლოგიის </w:t>
      </w:r>
      <w:r w:rsidRPr="00CD326B">
        <w:rPr>
          <w:b/>
          <w:lang w:val="ka-GE"/>
        </w:rPr>
        <w:t>მიმართულებით</w:t>
      </w:r>
    </w:p>
    <w:p w:rsidR="00CD326B" w:rsidRPr="00CD326B"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პროქტოლოგიის </w:t>
      </w:r>
      <w:r w:rsidRPr="00CD326B">
        <w:rPr>
          <w:b/>
          <w:lang w:val="ka-GE"/>
        </w:rPr>
        <w:t>მიმართულებით</w:t>
      </w:r>
    </w:p>
    <w:p w:rsidR="00CD326B" w:rsidRPr="00E02313" w:rsidRDefault="00CD326B" w:rsidP="00FE7B26">
      <w:pPr>
        <w:pStyle w:val="ListParagraph"/>
        <w:numPr>
          <w:ilvl w:val="0"/>
          <w:numId w:val="19"/>
        </w:numPr>
        <w:spacing w:line="256" w:lineRule="auto"/>
        <w:jc w:val="both"/>
        <w:rPr>
          <w:rFonts w:cs="Sylfaen"/>
          <w:b/>
          <w:noProof/>
          <w:lang w:val="ka-GE"/>
        </w:rPr>
      </w:pPr>
      <w:r w:rsidRPr="00CD326B">
        <w:rPr>
          <w:rFonts w:eastAsia="Times New Roman" w:cs="Times New Roman"/>
          <w:b/>
          <w:sz w:val="24"/>
          <w:szCs w:val="24"/>
          <w:lang w:val="ka-GE"/>
        </w:rPr>
        <w:t xml:space="preserve">უროლოგიის </w:t>
      </w:r>
      <w:r w:rsidRPr="003735C7">
        <w:rPr>
          <w:b/>
          <w:lang w:val="ka-GE"/>
        </w:rPr>
        <w:t>მიმართულებით</w:t>
      </w:r>
    </w:p>
    <w:p w:rsidR="00E02313" w:rsidRPr="00E02313" w:rsidRDefault="00E02313" w:rsidP="00E02313">
      <w:pPr>
        <w:spacing w:line="256" w:lineRule="auto"/>
        <w:jc w:val="both"/>
        <w:rPr>
          <w:rFonts w:cs="Sylfaen"/>
          <w:b/>
          <w:noProof/>
          <w:lang w:val="ka-GE"/>
        </w:rPr>
      </w:pPr>
    </w:p>
    <w:p w:rsidR="00E02313" w:rsidRPr="00E02313" w:rsidRDefault="00E02313" w:rsidP="00E02313">
      <w:pPr>
        <w:pStyle w:val="ListParagraph"/>
        <w:numPr>
          <w:ilvl w:val="0"/>
          <w:numId w:val="19"/>
        </w:numPr>
        <w:shd w:val="clear" w:color="auto" w:fill="2E74B5" w:themeFill="accent1" w:themeFillShade="BF"/>
        <w:rPr>
          <w:b/>
          <w:lang w:val="ka-GE"/>
        </w:rPr>
      </w:pPr>
      <w:r>
        <w:rPr>
          <w:b/>
          <w:lang w:val="ka-GE"/>
        </w:rPr>
        <w:t>მორატორიუმი საკეისრო კვეთებზე</w:t>
      </w:r>
    </w:p>
    <w:p w:rsidR="00CD326B" w:rsidRPr="00687EBA" w:rsidRDefault="00CD326B" w:rsidP="00CD326B">
      <w:pPr>
        <w:numPr>
          <w:ilvl w:val="0"/>
          <w:numId w:val="22"/>
        </w:numPr>
        <w:spacing w:before="100" w:beforeAutospacing="1" w:after="100" w:afterAutospacing="1" w:line="240" w:lineRule="auto"/>
        <w:jc w:val="both"/>
        <w:rPr>
          <w:rFonts w:ascii="Times New Roman" w:eastAsia="Times New Roman" w:hAnsi="Times New Roman" w:cs="Times New Roman"/>
          <w:sz w:val="20"/>
          <w:szCs w:val="20"/>
        </w:rPr>
      </w:pPr>
      <w:r w:rsidRPr="00687EBA">
        <w:rPr>
          <w:rFonts w:eastAsia="Times New Roman" w:cs="Times New Roman"/>
          <w:sz w:val="24"/>
          <w:szCs w:val="24"/>
          <w:lang w:val="ka-GE"/>
        </w:rPr>
        <w:t xml:space="preserve">2017 წლიდან ქვეყნის სამ დიდ ქალაქში (თბილისი, ბათუმი, ქუთაისი) „საყოველთაო ჯანმრთელობის დაცვის სახელმწიფო პროგრამის“ ფარგლებში ამოქმედდა პერინატალური სერვისის მიმწოდებელ დაწესებულებათა სელექტიური კონტრაქტირება, ამასთან, საკეისრო კვეთების რაოდენობის შემცირების მიზნით, კლინიკებს ინდივიდუალური კონტრაქტით განესაზღვრათ საკეისრო კვეთების ინდივიდუალური პროცენტული კლების ვალდებულება. აღნიშნული აქტივობის საფუძველი გახდა რეგიონში </w:t>
      </w:r>
      <w:r w:rsidRPr="00687EBA">
        <w:rPr>
          <w:rFonts w:eastAsia="Times New Roman" w:cs="Times New Roman"/>
          <w:sz w:val="24"/>
          <w:szCs w:val="24"/>
          <w:lang w:val="ka-GE"/>
        </w:rPr>
        <w:lastRenderedPageBreak/>
        <w:t>უპრეცენდენტოდ მაღალი საკეისრო კვეთის პროცენტული მაჩვენებელი, დედათა სიკვდილის  და ახალშობილთა ავადობისა და რეფერალის მაღალი მაჩვენებელი საკეისრო კვეთების შემდეგ.  </w:t>
      </w:r>
    </w:p>
    <w:p w:rsidR="00CD326B" w:rsidRPr="00687EBA" w:rsidRDefault="00CD326B" w:rsidP="00CD326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720"/>
        <w:jc w:val="both"/>
        <w:rPr>
          <w:rFonts w:ascii="Times New Roman" w:eastAsia="Times New Roman" w:hAnsi="Times New Roman" w:cs="Times New Roman"/>
          <w:sz w:val="20"/>
          <w:szCs w:val="20"/>
        </w:rPr>
      </w:pPr>
      <w:r w:rsidRPr="00687EBA">
        <w:rPr>
          <w:rFonts w:eastAsia="Times New Roman" w:cs="Times New Roman"/>
          <w:sz w:val="24"/>
          <w:szCs w:val="24"/>
          <w:lang w:val="ka-GE"/>
        </w:rPr>
        <w:t>ამ ეტაპზე სიტუაციურმა ანალიზმა აჩვენა, რომ მიმდინარე ხელშეკრულების პერიოდში, რომელიც მოიცავს 2019 წლის 1 აპრილიდან 2020 წლის 1 მაისამდე პერიოდს, უმეტესმა დაწესებულებებმა უკვე მიაღწიეს ხელშეკრულებით განსაზღვრულ პროცენტულ მაჩვენებელს და ხშირ შემთხვევაში, საჭიროების/აუცილებლობის დროსაც კი, თავს  არიდებენ  საკეისრო კვეთის ჩატარებას,  რითაც იზრდება როგორც ქალის, ასევე, ახალშობილის გართულების რისკი.  </w:t>
      </w:r>
    </w:p>
    <w:p w:rsidR="00CD326B" w:rsidRPr="00CD326B" w:rsidRDefault="00CD326B" w:rsidP="00CD326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720"/>
        <w:jc w:val="both"/>
        <w:rPr>
          <w:rFonts w:ascii="Times New Roman" w:eastAsia="Times New Roman" w:hAnsi="Times New Roman" w:cs="Times New Roman"/>
          <w:b/>
          <w:sz w:val="20"/>
          <w:szCs w:val="20"/>
        </w:rPr>
      </w:pPr>
      <w:r w:rsidRPr="00687EBA">
        <w:rPr>
          <w:rFonts w:eastAsia="Times New Roman" w:cs="Times New Roman"/>
          <w:sz w:val="24"/>
          <w:szCs w:val="24"/>
          <w:lang w:val="ka-GE"/>
        </w:rPr>
        <w:t xml:space="preserve">ზემოაღნიშნულის გათვალისწინებით, მიზანშეწონილად ჩაითავალა გადაიხედოს სელექტიური კონტრაქტირების არსებული პირობები, რისთვისაც დარგის ექსპერტებს ეთხოვათ წინადადებების წარმოდგენა. ამასთან, მიმდინარე ეტაპზე, კლინიკურად საკესირო კვეთის საჭიროების მქონე ქალებისა და მათი ახალშობილების გართულებების თავიდან აცილების მიზნით, დარგის ექსპერტებთან და დარგობრივ ასოციაციებთან კონსულტაციით, მიღებულ იქნა გადაწყვეტილება, </w:t>
      </w:r>
      <w:r w:rsidRPr="00CD326B">
        <w:rPr>
          <w:rFonts w:eastAsia="Times New Roman" w:cs="Times New Roman"/>
          <w:b/>
          <w:sz w:val="24"/>
          <w:szCs w:val="24"/>
          <w:lang w:val="x-none"/>
        </w:rPr>
        <w:t xml:space="preserve">2019 </w:t>
      </w:r>
      <w:proofErr w:type="spellStart"/>
      <w:r w:rsidRPr="00CD326B">
        <w:rPr>
          <w:rFonts w:eastAsia="Times New Roman" w:cs="Times New Roman"/>
          <w:b/>
          <w:sz w:val="24"/>
          <w:szCs w:val="24"/>
          <w:lang w:val="x-none"/>
        </w:rPr>
        <w:t>წელს</w:t>
      </w:r>
      <w:proofErr w:type="spellEnd"/>
      <w:r w:rsidRPr="00CD326B">
        <w:rPr>
          <w:rFonts w:eastAsia="Times New Roman" w:cs="Times New Roman"/>
          <w:b/>
          <w:sz w:val="24"/>
          <w:szCs w:val="24"/>
          <w:lang w:val="x-none"/>
        </w:rPr>
        <w:t xml:space="preserve"> </w:t>
      </w:r>
      <w:proofErr w:type="spellStart"/>
      <w:r w:rsidRPr="00CD326B">
        <w:rPr>
          <w:rFonts w:eastAsia="Times New Roman" w:cs="Times New Roman"/>
          <w:b/>
          <w:sz w:val="24"/>
          <w:szCs w:val="24"/>
          <w:lang w:val="x-none"/>
        </w:rPr>
        <w:t>დადებული</w:t>
      </w:r>
      <w:proofErr w:type="spellEnd"/>
      <w:r w:rsidRPr="00CD326B">
        <w:rPr>
          <w:rFonts w:eastAsia="Times New Roman" w:cs="Times New Roman"/>
          <w:b/>
          <w:sz w:val="24"/>
          <w:szCs w:val="24"/>
          <w:lang w:val="x-none"/>
        </w:rPr>
        <w:t xml:space="preserve"> </w:t>
      </w:r>
      <w:proofErr w:type="spellStart"/>
      <w:r w:rsidRPr="00CD326B">
        <w:rPr>
          <w:rFonts w:eastAsia="Times New Roman" w:cs="Times New Roman"/>
          <w:b/>
          <w:sz w:val="24"/>
          <w:szCs w:val="24"/>
          <w:lang w:val="x-none"/>
        </w:rPr>
        <w:t>ხელშეკრულებების</w:t>
      </w:r>
      <w:proofErr w:type="spellEnd"/>
      <w:r w:rsidRPr="00CD326B">
        <w:rPr>
          <w:rFonts w:eastAsia="Times New Roman" w:cs="Times New Roman"/>
          <w:b/>
          <w:sz w:val="24"/>
          <w:szCs w:val="24"/>
          <w:lang w:val="x-none"/>
        </w:rPr>
        <w:t xml:space="preserve"> </w:t>
      </w:r>
      <w:proofErr w:type="spellStart"/>
      <w:r w:rsidRPr="00CD326B">
        <w:rPr>
          <w:rFonts w:eastAsia="Times New Roman" w:cs="Times New Roman"/>
          <w:b/>
          <w:sz w:val="24"/>
          <w:szCs w:val="24"/>
          <w:lang w:val="x-none"/>
        </w:rPr>
        <w:t>ფარგლებში</w:t>
      </w:r>
      <w:proofErr w:type="spellEnd"/>
      <w:r w:rsidRPr="00CD326B">
        <w:rPr>
          <w:rFonts w:eastAsia="Times New Roman" w:cs="Times New Roman"/>
          <w:b/>
          <w:sz w:val="24"/>
          <w:szCs w:val="24"/>
          <w:lang w:val="x-none"/>
        </w:rPr>
        <w:t xml:space="preserve"> </w:t>
      </w:r>
      <w:proofErr w:type="spellStart"/>
      <w:r w:rsidRPr="00CD326B">
        <w:rPr>
          <w:rFonts w:eastAsia="Times New Roman" w:cs="Times New Roman"/>
          <w:b/>
          <w:sz w:val="24"/>
          <w:szCs w:val="24"/>
          <w:lang w:val="x-none"/>
        </w:rPr>
        <w:t>გამოცხადდეს</w:t>
      </w:r>
      <w:proofErr w:type="spellEnd"/>
      <w:r w:rsidRPr="00CD326B">
        <w:rPr>
          <w:rFonts w:eastAsia="Times New Roman" w:cs="Times New Roman"/>
          <w:b/>
          <w:sz w:val="24"/>
          <w:szCs w:val="24"/>
          <w:lang w:val="x-none"/>
        </w:rPr>
        <w:t xml:space="preserve"> </w:t>
      </w:r>
      <w:proofErr w:type="spellStart"/>
      <w:r w:rsidRPr="00CD326B">
        <w:rPr>
          <w:rFonts w:eastAsia="Times New Roman" w:cs="Times New Roman"/>
          <w:b/>
          <w:sz w:val="24"/>
          <w:szCs w:val="24"/>
          <w:lang w:val="x-none"/>
        </w:rPr>
        <w:t>მორატორიუმი</w:t>
      </w:r>
      <w:proofErr w:type="spellEnd"/>
      <w:r w:rsidRPr="00CD326B">
        <w:rPr>
          <w:rFonts w:eastAsia="Times New Roman" w:cs="Times New Roman"/>
          <w:b/>
          <w:sz w:val="24"/>
          <w:szCs w:val="24"/>
          <w:lang w:val="x-none"/>
        </w:rPr>
        <w:t xml:space="preserve"> </w:t>
      </w:r>
      <w:r w:rsidRPr="00CD326B">
        <w:rPr>
          <w:rFonts w:eastAsia="Times New Roman" w:cs="Times New Roman"/>
          <w:b/>
          <w:sz w:val="24"/>
          <w:szCs w:val="24"/>
          <w:lang w:val="ka-GE"/>
        </w:rPr>
        <w:t xml:space="preserve">მსგავსი დარღვევისთვის </w:t>
      </w:r>
      <w:proofErr w:type="spellStart"/>
      <w:r w:rsidRPr="00CD326B">
        <w:rPr>
          <w:rFonts w:eastAsia="Times New Roman" w:cs="Times New Roman"/>
          <w:b/>
          <w:sz w:val="24"/>
          <w:szCs w:val="24"/>
          <w:lang w:val="x-none"/>
        </w:rPr>
        <w:t>პროგრამი</w:t>
      </w:r>
      <w:r w:rsidRPr="00CD326B">
        <w:rPr>
          <w:rFonts w:eastAsia="Times New Roman" w:cs="Times New Roman"/>
          <w:b/>
          <w:sz w:val="24"/>
          <w:szCs w:val="24"/>
          <w:lang w:val="ka-GE"/>
        </w:rPr>
        <w:t>თ</w:t>
      </w:r>
      <w:proofErr w:type="spellEnd"/>
      <w:r w:rsidRPr="00CD326B">
        <w:rPr>
          <w:rFonts w:eastAsia="Times New Roman" w:cs="Times New Roman"/>
          <w:b/>
          <w:sz w:val="24"/>
          <w:szCs w:val="24"/>
          <w:lang w:val="ka-GE"/>
        </w:rPr>
        <w:t xml:space="preserve"> განსაზღვრულ საჯარიმო  </w:t>
      </w:r>
      <w:proofErr w:type="spellStart"/>
      <w:r w:rsidRPr="00CD326B">
        <w:rPr>
          <w:rFonts w:eastAsia="Times New Roman" w:cs="Times New Roman"/>
          <w:b/>
          <w:sz w:val="24"/>
          <w:szCs w:val="24"/>
          <w:lang w:val="x-none"/>
        </w:rPr>
        <w:t>სანქციებზე</w:t>
      </w:r>
      <w:proofErr w:type="spellEnd"/>
      <w:r w:rsidRPr="00CD326B">
        <w:rPr>
          <w:rFonts w:eastAsia="Times New Roman" w:cs="Times New Roman"/>
          <w:b/>
          <w:sz w:val="24"/>
          <w:szCs w:val="24"/>
          <w:lang w:val="x-none"/>
        </w:rPr>
        <w:t>.</w:t>
      </w:r>
      <w:r w:rsidRPr="00CD326B">
        <w:rPr>
          <w:rFonts w:eastAsia="Times New Roman" w:cs="Times New Roman"/>
          <w:b/>
          <w:sz w:val="24"/>
          <w:szCs w:val="24"/>
          <w:lang w:val="ka-GE"/>
        </w:rPr>
        <w:t> </w:t>
      </w:r>
      <w:bookmarkStart w:id="0" w:name="_GoBack"/>
      <w:bookmarkEnd w:id="0"/>
    </w:p>
    <w:p w:rsidR="002D6C62" w:rsidRDefault="002D6C62">
      <w:r>
        <w:br w:type="page"/>
      </w:r>
    </w:p>
    <w:p w:rsidR="00384092" w:rsidRPr="002D6C62" w:rsidRDefault="00384092" w:rsidP="0080412F">
      <w:pPr>
        <w:pStyle w:val="ListParagraph"/>
      </w:pPr>
    </w:p>
    <w:p w:rsidR="00FE7B26" w:rsidRDefault="00FE7B26" w:rsidP="0080412F">
      <w:pPr>
        <w:pStyle w:val="ListParagraph"/>
      </w:pPr>
    </w:p>
    <w:p w:rsidR="00020372" w:rsidRDefault="00020372" w:rsidP="00020372">
      <w:pPr>
        <w:pStyle w:val="ListParagraph"/>
        <w:shd w:val="clear" w:color="auto" w:fill="2E74B5" w:themeFill="accent1" w:themeFillShade="BF"/>
      </w:pPr>
      <w:r w:rsidRPr="002B0C24">
        <w:rPr>
          <w:b/>
        </w:rPr>
        <w:t xml:space="preserve">V </w:t>
      </w:r>
      <w:r w:rsidRPr="00020372">
        <w:rPr>
          <w:rFonts w:eastAsia="Times New Roman" w:cs="Sylfaen"/>
          <w:b/>
          <w:sz w:val="24"/>
          <w:szCs w:val="24"/>
          <w:lang w:val="ka-GE"/>
        </w:rPr>
        <w:t>ქრონიკული</w:t>
      </w:r>
      <w:r w:rsidRPr="00020372">
        <w:rPr>
          <w:rFonts w:ascii="Times New Roman" w:eastAsia="Times New Roman" w:hAnsi="Times New Roman" w:cs="Times New Roman"/>
          <w:b/>
          <w:sz w:val="24"/>
          <w:szCs w:val="24"/>
          <w:lang w:val="ka-GE"/>
        </w:rPr>
        <w:t xml:space="preserve"> </w:t>
      </w:r>
      <w:r w:rsidRPr="00020372">
        <w:rPr>
          <w:rFonts w:eastAsia="Times New Roman" w:cs="Sylfaen"/>
          <w:b/>
          <w:sz w:val="24"/>
          <w:szCs w:val="24"/>
          <w:lang w:val="ka-GE"/>
        </w:rPr>
        <w:t>დაავადებების</w:t>
      </w:r>
      <w:r w:rsidRPr="00020372">
        <w:rPr>
          <w:rFonts w:ascii="Times New Roman" w:eastAsia="Times New Roman" w:hAnsi="Times New Roman" w:cs="Times New Roman"/>
          <w:b/>
          <w:sz w:val="24"/>
          <w:szCs w:val="24"/>
          <w:lang w:val="ka-GE"/>
        </w:rPr>
        <w:t xml:space="preserve"> </w:t>
      </w:r>
      <w:r w:rsidRPr="00020372">
        <w:rPr>
          <w:rFonts w:eastAsia="Times New Roman" w:cs="Sylfaen"/>
          <w:b/>
          <w:sz w:val="24"/>
          <w:szCs w:val="24"/>
          <w:lang w:val="ka-GE"/>
        </w:rPr>
        <w:t>სამკურნალო</w:t>
      </w:r>
      <w:r w:rsidRPr="00020372">
        <w:rPr>
          <w:rFonts w:ascii="Times New Roman" w:eastAsia="Times New Roman" w:hAnsi="Times New Roman" w:cs="Times New Roman"/>
          <w:b/>
          <w:sz w:val="24"/>
          <w:szCs w:val="24"/>
          <w:lang w:val="ka-GE"/>
        </w:rPr>
        <w:t xml:space="preserve"> </w:t>
      </w:r>
      <w:r w:rsidRPr="00020372">
        <w:rPr>
          <w:rFonts w:eastAsia="Times New Roman" w:cs="Sylfaen"/>
          <w:b/>
          <w:sz w:val="24"/>
          <w:szCs w:val="24"/>
          <w:lang w:val="ka-GE"/>
        </w:rPr>
        <w:t>მედიკამენტებით</w:t>
      </w:r>
      <w:r w:rsidRPr="00020372">
        <w:rPr>
          <w:rFonts w:ascii="Times New Roman" w:eastAsia="Times New Roman" w:hAnsi="Times New Roman" w:cs="Times New Roman"/>
          <w:b/>
          <w:sz w:val="24"/>
          <w:szCs w:val="24"/>
          <w:lang w:val="ka-GE"/>
        </w:rPr>
        <w:t xml:space="preserve"> </w:t>
      </w:r>
      <w:r w:rsidRPr="00020372">
        <w:rPr>
          <w:rFonts w:eastAsia="Times New Roman" w:cs="Sylfaen"/>
          <w:b/>
          <w:sz w:val="24"/>
          <w:szCs w:val="24"/>
          <w:lang w:val="ka-GE"/>
        </w:rPr>
        <w:t>უზრუნველყოფ</w:t>
      </w:r>
      <w:r>
        <w:rPr>
          <w:rFonts w:eastAsia="Times New Roman" w:cs="Sylfaen"/>
          <w:b/>
          <w:sz w:val="24"/>
          <w:szCs w:val="24"/>
          <w:lang w:val="ka-GE"/>
        </w:rPr>
        <w:t>ა</w:t>
      </w:r>
    </w:p>
    <w:p w:rsidR="00020372" w:rsidRDefault="00020372" w:rsidP="0080412F">
      <w:pPr>
        <w:pStyle w:val="ListParagraph"/>
      </w:pPr>
    </w:p>
    <w:p w:rsidR="00AD2E79" w:rsidRPr="004C7401" w:rsidRDefault="00AD2E79" w:rsidP="00AD2E79">
      <w:pPr>
        <w:spacing w:before="100" w:beforeAutospacing="1" w:after="100" w:afterAutospacing="1" w:line="240" w:lineRule="auto"/>
        <w:ind w:firstLine="720"/>
        <w:jc w:val="both"/>
        <w:rPr>
          <w:rFonts w:ascii="Times New Roman" w:eastAsia="Times New Roman" w:hAnsi="Times New Roman" w:cs="Times New Roman"/>
          <w:sz w:val="20"/>
          <w:szCs w:val="20"/>
        </w:rPr>
      </w:pPr>
      <w:r w:rsidRPr="004C7401">
        <w:rPr>
          <w:rFonts w:eastAsia="Times New Roman" w:cs="Sylfaen"/>
          <w:sz w:val="24"/>
          <w:szCs w:val="24"/>
          <w:lang w:val="ka-GE"/>
        </w:rPr>
        <w:t>საყოველთაო</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ჯანდაცვის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არსებული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შედეგების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შენარჩუნების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შემდგომი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პროგრესის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მიღწევის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თვალსაზრისით</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მნიშვნელოვანია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სოციალურად</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დაუცველი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მოსახლეობის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ამასთან</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ქრონიკული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დაავადებების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მქონე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პაციენტებისთვის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მედიკამენტებზე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ხელმისაწვდომობის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მაქსიმალური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გაზრდა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ფინანსური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დაცვა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ქრონიკული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დაავადებების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მქონე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პაციენტების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მოცვა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მარტივი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მოქნილი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დიზაინის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გამოყენებით</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ფინანსური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დაცულობის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თანასწორობის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ხარჯთეფექტურობის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გაზრდის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მიზნით</w:t>
      </w:r>
      <w:r w:rsidRPr="004C7401">
        <w:rPr>
          <w:rFonts w:ascii="Times New Roman" w:eastAsia="Times New Roman" w:hAnsi="Times New Roman" w:cs="Times New Roman"/>
          <w:sz w:val="24"/>
          <w:szCs w:val="24"/>
          <w:lang w:val="ka-GE"/>
        </w:rPr>
        <w:t xml:space="preserve">. </w:t>
      </w:r>
    </w:p>
    <w:p w:rsidR="00AD2E79" w:rsidRPr="004C7401" w:rsidRDefault="00AD2E79" w:rsidP="00AD2E79">
      <w:pPr>
        <w:spacing w:before="100" w:beforeAutospacing="1" w:after="100" w:afterAutospacing="1" w:line="240" w:lineRule="auto"/>
        <w:ind w:firstLine="720"/>
        <w:jc w:val="both"/>
        <w:rPr>
          <w:rFonts w:ascii="Times New Roman" w:eastAsia="Times New Roman" w:hAnsi="Times New Roman" w:cs="Times New Roman"/>
          <w:sz w:val="20"/>
          <w:szCs w:val="20"/>
        </w:rPr>
      </w:pPr>
      <w:r w:rsidRPr="004C7401">
        <w:rPr>
          <w:rFonts w:eastAsia="Times New Roman" w:cs="Sylfaen"/>
          <w:sz w:val="24"/>
          <w:szCs w:val="24"/>
          <w:lang w:val="ka-GE"/>
        </w:rPr>
        <w:t>ფარმაცევტული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პრეპარატები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სასიცოცხლოდ</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მნიშვნელოვან</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როლს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ასრულებს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ჯანდაცვის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სისტემაში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ჯანდაცვაზე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მთლიან</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დანახარჯებში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წამლებს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მესამე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ადგილი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უჭირავს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სტაციონარულ</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ამბულატორიულ</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სერვისებზე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დანახარჯების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შემდეგ</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ევროკავშირის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ქვეყნებში</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მედიკამენტებზე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დანახარჯების</w:t>
      </w:r>
      <w:r w:rsidRPr="004C7401">
        <w:rPr>
          <w:rFonts w:ascii="Times New Roman" w:eastAsia="Times New Roman" w:hAnsi="Times New Roman" w:cs="Times New Roman"/>
          <w:sz w:val="24"/>
          <w:szCs w:val="24"/>
          <w:lang w:val="ka-GE"/>
        </w:rPr>
        <w:t xml:space="preserve"> 80% </w:t>
      </w:r>
      <w:r w:rsidRPr="004C7401">
        <w:rPr>
          <w:rFonts w:eastAsia="Times New Roman" w:cs="Sylfaen"/>
          <w:sz w:val="24"/>
          <w:szCs w:val="24"/>
          <w:lang w:val="ka-GE"/>
        </w:rPr>
        <w:t>ამბულატორიულ</w:t>
      </w:r>
      <w:r w:rsidRPr="004C7401">
        <w:rPr>
          <w:rFonts w:ascii="Times New Roman" w:eastAsia="Times New Roman" w:hAnsi="Times New Roman" w:cs="Times New Roman"/>
          <w:sz w:val="24"/>
          <w:szCs w:val="24"/>
          <w:lang w:val="ka-GE"/>
        </w:rPr>
        <w:t>/</w:t>
      </w:r>
      <w:r w:rsidRPr="004C7401">
        <w:rPr>
          <w:rFonts w:eastAsia="Times New Roman" w:cs="Sylfaen"/>
          <w:sz w:val="24"/>
          <w:szCs w:val="24"/>
          <w:lang w:val="ka-GE"/>
        </w:rPr>
        <w:t>რეცეპტით</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გამოწერილ</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მედიკამენტებზე</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მოდის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რომლის</w:t>
      </w:r>
      <w:r w:rsidRPr="004C7401">
        <w:rPr>
          <w:rFonts w:ascii="Times New Roman" w:eastAsia="Times New Roman" w:hAnsi="Times New Roman" w:cs="Times New Roman"/>
          <w:sz w:val="24"/>
          <w:szCs w:val="24"/>
          <w:lang w:val="ka-GE"/>
        </w:rPr>
        <w:t xml:space="preserve"> 60%-</w:t>
      </w:r>
      <w:r w:rsidRPr="004C7401">
        <w:rPr>
          <w:rFonts w:eastAsia="Times New Roman" w:cs="Sylfaen"/>
          <w:sz w:val="24"/>
          <w:szCs w:val="24"/>
          <w:lang w:val="ka-GE"/>
        </w:rPr>
        <w:t>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დაფინანსების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წყაროს</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სახელმწიფო</w:t>
      </w:r>
      <w:r w:rsidRPr="004C7401">
        <w:rPr>
          <w:rFonts w:ascii="Times New Roman" w:eastAsia="Times New Roman" w:hAnsi="Times New Roman" w:cs="Times New Roman"/>
          <w:sz w:val="24"/>
          <w:szCs w:val="24"/>
          <w:lang w:val="ka-GE"/>
        </w:rPr>
        <w:t xml:space="preserve"> </w:t>
      </w:r>
      <w:r w:rsidRPr="004C7401">
        <w:rPr>
          <w:rFonts w:eastAsia="Times New Roman" w:cs="Sylfaen"/>
          <w:sz w:val="24"/>
          <w:szCs w:val="24"/>
          <w:lang w:val="ka-GE"/>
        </w:rPr>
        <w:t>წარმოადგენს</w:t>
      </w:r>
      <w:r w:rsidRPr="004C7401">
        <w:rPr>
          <w:rFonts w:ascii="Times New Roman" w:eastAsia="Times New Roman" w:hAnsi="Times New Roman" w:cs="Times New Roman"/>
          <w:sz w:val="24"/>
          <w:szCs w:val="24"/>
          <w:lang w:val="ka-GE"/>
        </w:rPr>
        <w:t>.</w:t>
      </w:r>
    </w:p>
    <w:p w:rsidR="00AD2E79" w:rsidRPr="004C7401" w:rsidRDefault="00AD2E79" w:rsidP="00AD2E79">
      <w:pPr>
        <w:spacing w:before="100" w:beforeAutospacing="1" w:after="0" w:line="240" w:lineRule="auto"/>
        <w:ind w:firstLine="720"/>
        <w:jc w:val="both"/>
        <w:rPr>
          <w:rFonts w:ascii="Times New Roman" w:eastAsia="Times New Roman" w:hAnsi="Times New Roman" w:cs="Times New Roman"/>
          <w:sz w:val="24"/>
          <w:szCs w:val="24"/>
        </w:rPr>
      </w:pPr>
      <w:r w:rsidRPr="004C7401">
        <w:rPr>
          <w:rFonts w:eastAsia="Times New Roman" w:cs="Times New Roman"/>
          <w:sz w:val="24"/>
          <w:szCs w:val="24"/>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 64%).</w:t>
      </w:r>
    </w:p>
    <w:p w:rsidR="00AD2E79" w:rsidRPr="004C7401" w:rsidRDefault="00AD2E79" w:rsidP="00AD2E79">
      <w:pPr>
        <w:spacing w:before="100" w:beforeAutospacing="1" w:after="0" w:line="240" w:lineRule="auto"/>
        <w:ind w:firstLine="720"/>
        <w:jc w:val="both"/>
        <w:rPr>
          <w:rFonts w:ascii="Times New Roman" w:eastAsia="Times New Roman" w:hAnsi="Times New Roman" w:cs="Times New Roman"/>
          <w:sz w:val="24"/>
          <w:szCs w:val="24"/>
        </w:rPr>
      </w:pPr>
      <w:r w:rsidRPr="004C7401">
        <w:rPr>
          <w:rFonts w:eastAsia="Times New Roman" w:cs="Times New Roman"/>
          <w:sz w:val="24"/>
          <w:szCs w:val="24"/>
          <w:lang w:val="ka-GE"/>
        </w:rPr>
        <w:t xml:space="preserve">მაღალი მოთხოვნის პირობებში კიდევ უფრო მნიშვნელოვანი </w:t>
      </w:r>
      <w:r w:rsidR="00E02313">
        <w:rPr>
          <w:rFonts w:eastAsia="Times New Roman" w:cs="Times New Roman"/>
          <w:sz w:val="24"/>
          <w:szCs w:val="24"/>
          <w:lang w:val="ka-GE"/>
        </w:rPr>
        <w:t>გა</w:t>
      </w:r>
      <w:r w:rsidRPr="004C7401">
        <w:rPr>
          <w:rFonts w:eastAsia="Times New Roman" w:cs="Times New Roman"/>
          <w:sz w:val="24"/>
          <w:szCs w:val="24"/>
          <w:lang w:val="ka-GE"/>
        </w:rPr>
        <w:t xml:space="preserve">ხდა მედიკამენტებით უზრუნველყოფის მექანიზმის დახვეწა, რათა თავიდან </w:t>
      </w:r>
      <w:r w:rsidR="00E02313">
        <w:rPr>
          <w:rFonts w:eastAsia="Times New Roman" w:cs="Times New Roman"/>
          <w:sz w:val="24"/>
          <w:szCs w:val="24"/>
          <w:lang w:val="ka-GE"/>
        </w:rPr>
        <w:t xml:space="preserve">ყოფილიყო აცილებული </w:t>
      </w:r>
      <w:r w:rsidRPr="004C7401">
        <w:rPr>
          <w:rFonts w:eastAsia="Times New Roman" w:cs="Times New Roman"/>
          <w:sz w:val="24"/>
          <w:szCs w:val="24"/>
          <w:lang w:val="ka-GE"/>
        </w:rPr>
        <w:t xml:space="preserve">შეფერხებები შესყიდვის, დისტრიბუციის და საცალო აფთიაქის დონეზე მარაგების მართვის პროცესში. </w:t>
      </w:r>
    </w:p>
    <w:p w:rsidR="00E02313" w:rsidRDefault="00AD2E79" w:rsidP="00AD2E79">
      <w:pPr>
        <w:spacing w:before="100" w:beforeAutospacing="1" w:after="0" w:line="240" w:lineRule="auto"/>
        <w:ind w:firstLine="720"/>
        <w:jc w:val="both"/>
        <w:rPr>
          <w:rFonts w:eastAsia="Times New Roman" w:cs="Times New Roman"/>
          <w:sz w:val="24"/>
          <w:szCs w:val="24"/>
          <w:lang w:val="ka-GE"/>
        </w:rPr>
      </w:pPr>
      <w:r w:rsidRPr="004C7401">
        <w:rPr>
          <w:rFonts w:eastAsia="Times New Roman" w:cs="Times New Roman"/>
          <w:sz w:val="24"/>
          <w:szCs w:val="24"/>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w:t>
      </w:r>
      <w:r w:rsidR="00E02313">
        <w:rPr>
          <w:rFonts w:eastAsia="Times New Roman" w:cs="Times New Roman"/>
          <w:sz w:val="24"/>
          <w:szCs w:val="24"/>
          <w:lang w:val="ka-GE"/>
        </w:rPr>
        <w:t>ით რამდენიმე ეტაპად  ჩატარდა</w:t>
      </w:r>
      <w:r w:rsidRPr="004C7401">
        <w:rPr>
          <w:rFonts w:eastAsia="Times New Roman" w:cs="Times New Roman"/>
          <w:sz w:val="24"/>
          <w:szCs w:val="24"/>
          <w:lang w:val="ka-GE"/>
        </w:rPr>
        <w:t xml:space="preserve"> კონსოლიდირებული ტენდერები 35 დასახელების მედიკამენტზე. თუმცა, აღსანიშნავია, რომ ზოგ შემთხვევაში შესყიდვები დასრულდა და გაფორმ</w:t>
      </w:r>
      <w:r w:rsidR="00E02313">
        <w:rPr>
          <w:rFonts w:eastAsia="Times New Roman" w:cs="Times New Roman"/>
          <w:sz w:val="24"/>
          <w:szCs w:val="24"/>
          <w:lang w:val="ka-GE"/>
        </w:rPr>
        <w:t>და</w:t>
      </w:r>
      <w:r w:rsidRPr="004C7401">
        <w:rPr>
          <w:rFonts w:eastAsia="Times New Roman" w:cs="Times New Roman"/>
          <w:sz w:val="24"/>
          <w:szCs w:val="24"/>
          <w:lang w:val="ka-GE"/>
        </w:rPr>
        <w:t xml:space="preserve"> ხელშეკრულებები, ზოგიერთი პოზიცია კი საერთოდ ვერ იქნა შესყიდული </w:t>
      </w:r>
      <w:r w:rsidRPr="004C7401">
        <w:rPr>
          <w:rFonts w:eastAsia="Times New Roman" w:cs="Times New Roman"/>
          <w:sz w:val="24"/>
          <w:szCs w:val="24"/>
          <w:lang w:val="ka-GE"/>
        </w:rPr>
        <w:lastRenderedPageBreak/>
        <w:t xml:space="preserve">სხვადასხვა მიზეზების გამო (არ </w:t>
      </w:r>
      <w:r w:rsidR="00E02313">
        <w:rPr>
          <w:rFonts w:eastAsia="Times New Roman" w:cs="Times New Roman"/>
          <w:sz w:val="24"/>
          <w:szCs w:val="24"/>
          <w:lang w:val="ka-GE"/>
        </w:rPr>
        <w:t>იყო</w:t>
      </w:r>
      <w:r w:rsidRPr="004C7401">
        <w:rPr>
          <w:rFonts w:eastAsia="Times New Roman" w:cs="Times New Roman"/>
          <w:sz w:val="24"/>
          <w:szCs w:val="24"/>
          <w:lang w:val="ka-GE"/>
        </w:rPr>
        <w:t xml:space="preserve"> დაინტერესება მომწოდებელი კომპანიების მხრი</w:t>
      </w:r>
      <w:r w:rsidR="00E02313">
        <w:rPr>
          <w:rFonts w:eastAsia="Times New Roman" w:cs="Times New Roman"/>
          <w:sz w:val="24"/>
          <w:szCs w:val="24"/>
          <w:lang w:val="ka-GE"/>
        </w:rPr>
        <w:t>დან, მომწოდებელს არ აკმაყოფილებდა მოწოდების ვადებს, ერთეულის ფასს</w:t>
      </w:r>
      <w:r w:rsidRPr="004C7401">
        <w:rPr>
          <w:rFonts w:eastAsia="Times New Roman" w:cs="Times New Roman"/>
          <w:sz w:val="24"/>
          <w:szCs w:val="24"/>
          <w:lang w:val="ka-GE"/>
        </w:rPr>
        <w:t xml:space="preserve"> და სხვა). </w:t>
      </w:r>
    </w:p>
    <w:p w:rsidR="00AD2E79" w:rsidRPr="004C7401" w:rsidRDefault="00AD2E79" w:rsidP="00AD2E79">
      <w:pPr>
        <w:spacing w:before="100" w:beforeAutospacing="1" w:after="0" w:line="240" w:lineRule="auto"/>
        <w:ind w:firstLine="720"/>
        <w:jc w:val="both"/>
        <w:rPr>
          <w:rFonts w:ascii="Times New Roman" w:eastAsia="Times New Roman" w:hAnsi="Times New Roman" w:cs="Times New Roman"/>
          <w:sz w:val="24"/>
          <w:szCs w:val="24"/>
        </w:rPr>
      </w:pPr>
      <w:r w:rsidRPr="004C7401">
        <w:rPr>
          <w:rFonts w:eastAsia="Times New Roman" w:cs="Times New Roman"/>
          <w:sz w:val="24"/>
          <w:szCs w:val="24"/>
          <w:lang w:val="ka-GE"/>
        </w:rPr>
        <w:t xml:space="preserve">აღნიშნული გამოწვევების საპასუხოდ, </w:t>
      </w:r>
      <w:r w:rsidR="00E02313">
        <w:rPr>
          <w:rFonts w:eastAsia="Times New Roman" w:cs="Times New Roman"/>
          <w:sz w:val="24"/>
          <w:szCs w:val="24"/>
          <w:lang w:val="ka-GE"/>
        </w:rPr>
        <w:t xml:space="preserve">ქრონიკული დაავადებების სამკურნალო მედიკამენტტებით უზრუნველყოფის პროგრამა ინტეგრირიდა „საყოველთაო ჯანმრთელობის დაცვის სახელმწიფო პროგრამაში“ და </w:t>
      </w:r>
      <w:r>
        <w:rPr>
          <w:rFonts w:eastAsia="Times New Roman" w:cs="Times New Roman"/>
          <w:sz w:val="24"/>
          <w:szCs w:val="24"/>
          <w:lang w:val="ka-GE"/>
        </w:rPr>
        <w:t xml:space="preserve">შეიცვალა </w:t>
      </w:r>
      <w:r w:rsidRPr="004C7401">
        <w:rPr>
          <w:rFonts w:eastAsia="Times New Roman" w:cs="Times New Roman"/>
          <w:sz w:val="24"/>
          <w:szCs w:val="24"/>
          <w:lang w:val="ka-GE"/>
        </w:rPr>
        <w:t xml:space="preserve"> პროგრამის განხორციელების მექანიზმი. კერძოდ, ცენტრალიზებული შესყიდვის ნაცვლად </w:t>
      </w:r>
      <w:r w:rsidR="00E02313">
        <w:rPr>
          <w:rFonts w:eastAsia="Times New Roman" w:cs="Times New Roman"/>
          <w:b/>
          <w:bCs/>
          <w:sz w:val="24"/>
          <w:szCs w:val="24"/>
          <w:lang w:val="ka-GE"/>
        </w:rPr>
        <w:t xml:space="preserve">პროგრამული უზრუნველყოფა </w:t>
      </w:r>
      <w:r w:rsidRPr="004C7401">
        <w:rPr>
          <w:rFonts w:eastAsia="Times New Roman" w:cs="Times New Roman"/>
          <w:b/>
          <w:bCs/>
          <w:sz w:val="24"/>
          <w:szCs w:val="24"/>
          <w:lang w:val="ka-GE"/>
        </w:rPr>
        <w:t>ხორციელდე</w:t>
      </w:r>
      <w:r>
        <w:rPr>
          <w:rFonts w:eastAsia="Times New Roman" w:cs="Times New Roman"/>
          <w:b/>
          <w:bCs/>
          <w:sz w:val="24"/>
          <w:szCs w:val="24"/>
          <w:lang w:val="ka-GE"/>
        </w:rPr>
        <w:t>ბა</w:t>
      </w:r>
      <w:r w:rsidRPr="004C7401">
        <w:rPr>
          <w:rFonts w:eastAsia="Times New Roman" w:cs="Times New Roman"/>
          <w:b/>
          <w:bCs/>
          <w:sz w:val="24"/>
          <w:szCs w:val="24"/>
          <w:lang w:val="ka-GE"/>
        </w:rPr>
        <w:t xml:space="preserve"> არამატერიალიზებული ვაუჩერით</w:t>
      </w:r>
      <w:r>
        <w:rPr>
          <w:rFonts w:eastAsia="Times New Roman" w:cs="Times New Roman"/>
          <w:b/>
          <w:bCs/>
          <w:sz w:val="24"/>
          <w:szCs w:val="24"/>
          <w:lang w:val="ka-GE"/>
        </w:rPr>
        <w:t>:</w:t>
      </w:r>
      <w:r w:rsidRPr="004C7401">
        <w:rPr>
          <w:rFonts w:eastAsia="Times New Roman" w:cs="Times New Roman"/>
          <w:b/>
          <w:bCs/>
          <w:sz w:val="24"/>
          <w:szCs w:val="24"/>
          <w:lang w:val="ka-GE"/>
        </w:rPr>
        <w:t xml:space="preserve"> </w:t>
      </w:r>
      <w:r w:rsidRPr="004C7401">
        <w:rPr>
          <w:rFonts w:eastAsia="Times New Roman" w:cs="Times New Roman"/>
          <w:sz w:val="24"/>
          <w:szCs w:val="24"/>
          <w:lang w:val="ka-GE"/>
        </w:rPr>
        <w:t>დამტკიცდა მედიკამენტების ნუსხა, სოციალური მომსახურების სააგენტოს მიერ ბაზრის კვლევის საფ</w:t>
      </w:r>
      <w:r w:rsidR="00E02313">
        <w:rPr>
          <w:rFonts w:eastAsia="Times New Roman" w:cs="Times New Roman"/>
          <w:sz w:val="24"/>
          <w:szCs w:val="24"/>
          <w:lang w:val="ka-GE"/>
        </w:rPr>
        <w:t>უძველზე დადგინდა ფასები, დაწესდ</w:t>
      </w:r>
      <w:r w:rsidRPr="004C7401">
        <w:rPr>
          <w:rFonts w:eastAsia="Times New Roman" w:cs="Times New Roman"/>
          <w:sz w:val="24"/>
          <w:szCs w:val="24"/>
          <w:lang w:val="ka-GE"/>
        </w:rPr>
        <w:t>ა წლიური ლიმიტი ნოზოლოგიები</w:t>
      </w:r>
      <w:r>
        <w:rPr>
          <w:rFonts w:eastAsia="Times New Roman" w:cs="Times New Roman"/>
          <w:sz w:val="24"/>
          <w:szCs w:val="24"/>
          <w:lang w:val="ka-GE"/>
        </w:rPr>
        <w:t>ს ჯგუფების მიხედვით (</w:t>
      </w:r>
      <w:r w:rsidRPr="004C7401">
        <w:rPr>
          <w:rFonts w:eastAsia="Times New Roman" w:cs="Times New Roman"/>
          <w:sz w:val="24"/>
          <w:szCs w:val="24"/>
          <w:lang w:val="ka-GE"/>
        </w:rPr>
        <w:t>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w:t>
      </w:r>
      <w:r>
        <w:rPr>
          <w:rFonts w:eastAsia="Times New Roman" w:cs="Times New Roman"/>
          <w:sz w:val="24"/>
          <w:szCs w:val="24"/>
          <w:lang w:val="ka-GE"/>
        </w:rPr>
        <w:t xml:space="preserve">), პაციენტი </w:t>
      </w:r>
      <w:r w:rsidRPr="004C7401">
        <w:rPr>
          <w:rFonts w:eastAsia="Times New Roman" w:cs="Times New Roman"/>
          <w:sz w:val="24"/>
          <w:szCs w:val="24"/>
          <w:lang w:val="ka-GE"/>
        </w:rPr>
        <w:t>იღებს წამალს პროგრამული სერვისის მიმწოდებელ აფთიაქში, ხოლო სოციალური მომსახურების სააგენტო უზრუნველყოფს ფაქტობრივი ხარჯის ანაზღაურებას პროგრამაში განსაზღვრული წესით.</w:t>
      </w:r>
    </w:p>
    <w:p w:rsidR="00AD2E79" w:rsidRPr="004C7401" w:rsidRDefault="00AD2E79" w:rsidP="00AD2E79">
      <w:pPr>
        <w:spacing w:before="100" w:beforeAutospacing="1" w:after="0" w:line="240" w:lineRule="auto"/>
        <w:ind w:firstLine="720"/>
        <w:jc w:val="both"/>
        <w:rPr>
          <w:rFonts w:ascii="Times New Roman" w:eastAsia="Times New Roman" w:hAnsi="Times New Roman" w:cs="Times New Roman"/>
          <w:sz w:val="24"/>
          <w:szCs w:val="24"/>
        </w:rPr>
      </w:pPr>
      <w:r w:rsidRPr="004C7401">
        <w:rPr>
          <w:rFonts w:eastAsia="Times New Roman" w:cs="Times New Roman"/>
          <w:sz w:val="24"/>
          <w:szCs w:val="24"/>
          <w:lang w:val="ka-GE"/>
        </w:rPr>
        <w:t>შესაბამისად, ფარმაცევტული პრ</w:t>
      </w:r>
      <w:r w:rsidR="00E02313">
        <w:rPr>
          <w:rFonts w:eastAsia="Times New Roman" w:cs="Times New Roman"/>
          <w:sz w:val="24"/>
          <w:szCs w:val="24"/>
          <w:lang w:val="ka-GE"/>
        </w:rPr>
        <w:t xml:space="preserve">ოდუქტის ხარჯების ანაზღაურება </w:t>
      </w:r>
      <w:r w:rsidRPr="004C7401">
        <w:rPr>
          <w:rFonts w:eastAsia="Times New Roman" w:cs="Times New Roman"/>
          <w:sz w:val="24"/>
          <w:szCs w:val="24"/>
          <w:lang w:val="ka-GE"/>
        </w:rPr>
        <w:t>ხორციელდება ფაქტობრივი ხარჯის მიხედვით, მაგრამ არაუმეტეს განმახორციელებლის მიერ დადგენილი ტარიფისა და შესაბამისი ლიმიტისა.</w:t>
      </w:r>
      <w:r w:rsidRPr="004C7401">
        <w:rPr>
          <w:rFonts w:ascii="Times New Roman" w:eastAsia="Times New Roman" w:hAnsi="Times New Roman" w:cs="Times New Roman"/>
          <w:sz w:val="24"/>
          <w:szCs w:val="24"/>
        </w:rPr>
        <w:t> </w:t>
      </w:r>
    </w:p>
    <w:p w:rsidR="00AD2E79" w:rsidRPr="004C7401" w:rsidRDefault="00AD2E79" w:rsidP="00AD2E79">
      <w:pPr>
        <w:spacing w:before="100" w:beforeAutospacing="1" w:after="0" w:line="240" w:lineRule="auto"/>
        <w:ind w:firstLine="720"/>
        <w:jc w:val="both"/>
        <w:rPr>
          <w:rFonts w:ascii="Times New Roman" w:eastAsia="Times New Roman" w:hAnsi="Times New Roman" w:cs="Times New Roman"/>
          <w:sz w:val="24"/>
          <w:szCs w:val="24"/>
        </w:rPr>
      </w:pPr>
      <w:r w:rsidRPr="004C7401">
        <w:rPr>
          <w:rFonts w:eastAsia="Times New Roman" w:cs="Times New Roman"/>
          <w:sz w:val="24"/>
          <w:szCs w:val="24"/>
          <w:lang w:val="ka-GE"/>
        </w:rPr>
        <w:t xml:space="preserve">გარდა ზემოაღნიშნულისა, </w:t>
      </w:r>
      <w:r w:rsidR="00E02313">
        <w:rPr>
          <w:rFonts w:eastAsia="Times New Roman" w:cs="Times New Roman"/>
          <w:sz w:val="24"/>
          <w:szCs w:val="24"/>
          <w:lang w:val="ka-GE"/>
        </w:rPr>
        <w:t>შეიცვ</w:t>
      </w:r>
      <w:r w:rsidRPr="004C7401">
        <w:rPr>
          <w:rFonts w:eastAsia="Times New Roman" w:cs="Times New Roman"/>
          <w:sz w:val="24"/>
          <w:szCs w:val="24"/>
          <w:lang w:val="ka-GE"/>
        </w:rPr>
        <w:t>ა</w:t>
      </w:r>
      <w:r w:rsidR="00E02313">
        <w:rPr>
          <w:rFonts w:eastAsia="Times New Roman" w:cs="Times New Roman"/>
          <w:sz w:val="24"/>
          <w:szCs w:val="24"/>
          <w:lang w:val="ka-GE"/>
        </w:rPr>
        <w:t>ლა</w:t>
      </w:r>
      <w:r w:rsidRPr="004C7401">
        <w:rPr>
          <w:rFonts w:eastAsia="Times New Roman" w:cs="Times New Roman"/>
          <w:sz w:val="24"/>
          <w:szCs w:val="24"/>
          <w:lang w:val="ka-GE"/>
        </w:rPr>
        <w:t xml:space="preserve"> მედიკამენტების ანაზღაურების წესი სოციალურად დაუცველებისთვის (რომელთა </w:t>
      </w:r>
      <w:proofErr w:type="spellStart"/>
      <w:r w:rsidRPr="004C7401">
        <w:rPr>
          <w:rFonts w:eastAsia="Times New Roman" w:cs="Times New Roman"/>
          <w:sz w:val="24"/>
          <w:szCs w:val="24"/>
        </w:rPr>
        <w:t>სარეიტინგო</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ქულა</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არ</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აღემატება</w:t>
      </w:r>
      <w:proofErr w:type="spellEnd"/>
      <w:r w:rsidRPr="004C7401">
        <w:rPr>
          <w:rFonts w:eastAsia="Times New Roman" w:cs="Times New Roman"/>
          <w:sz w:val="24"/>
          <w:szCs w:val="24"/>
        </w:rPr>
        <w:t xml:space="preserve"> 100 000-ს</w:t>
      </w:r>
      <w:r w:rsidRPr="004C7401">
        <w:rPr>
          <w:rFonts w:eastAsia="Times New Roman" w:cs="Times New Roman"/>
          <w:sz w:val="24"/>
          <w:szCs w:val="24"/>
          <w:lang w:val="ka-GE"/>
        </w:rPr>
        <w:t>), საპენსიო ასაკის მოსახლეობისთვის</w:t>
      </w:r>
      <w:r w:rsidRPr="004C7401">
        <w:rPr>
          <w:rFonts w:eastAsia="Times New Roman" w:cs="Times New Roman"/>
          <w:sz w:val="24"/>
          <w:szCs w:val="24"/>
        </w:rPr>
        <w:t xml:space="preserve">, </w:t>
      </w:r>
      <w:proofErr w:type="spellStart"/>
      <w:r w:rsidRPr="004C7401">
        <w:rPr>
          <w:rFonts w:eastAsia="Times New Roman" w:cs="Times New Roman"/>
          <w:sz w:val="24"/>
          <w:szCs w:val="24"/>
        </w:rPr>
        <w:t>შეზღუდული</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შესაძლებლობის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სტატუსის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მქონე</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ბავშვი</w:t>
      </w:r>
      <w:proofErr w:type="spellEnd"/>
      <w:r w:rsidRPr="004C7401">
        <w:rPr>
          <w:rFonts w:eastAsia="Times New Roman" w:cs="Times New Roman"/>
          <w:sz w:val="24"/>
          <w:szCs w:val="24"/>
          <w:lang w:val="ka-GE"/>
        </w:rPr>
        <w:t>სთვის</w:t>
      </w:r>
      <w:r w:rsidRPr="004C7401">
        <w:rPr>
          <w:rFonts w:eastAsia="Times New Roman" w:cs="Times New Roman"/>
          <w:sz w:val="24"/>
          <w:szCs w:val="24"/>
        </w:rPr>
        <w:t xml:space="preserve">, </w:t>
      </w:r>
      <w:proofErr w:type="spellStart"/>
      <w:r w:rsidRPr="004C7401">
        <w:rPr>
          <w:rFonts w:eastAsia="Times New Roman" w:cs="Times New Roman"/>
          <w:sz w:val="24"/>
          <w:szCs w:val="24"/>
        </w:rPr>
        <w:t>მკვეთრად</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ან</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მნიშვნელოვნად</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გამოხატული</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შეზღუდული</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შესაძლებლობის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სტატუსის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მქონე</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პირი</w:t>
      </w:r>
      <w:proofErr w:type="spellEnd"/>
      <w:r w:rsidRPr="004C7401">
        <w:rPr>
          <w:rFonts w:eastAsia="Times New Roman" w:cs="Times New Roman"/>
          <w:sz w:val="24"/>
          <w:szCs w:val="24"/>
          <w:lang w:val="ka-GE"/>
        </w:rPr>
        <w:t>სთვის</w:t>
      </w:r>
      <w:r w:rsidRPr="004C7401">
        <w:rPr>
          <w:rFonts w:eastAsia="Times New Roman" w:cs="Times New Roman"/>
          <w:sz w:val="24"/>
          <w:szCs w:val="24"/>
        </w:rPr>
        <w:t xml:space="preserve">, </w:t>
      </w:r>
      <w:proofErr w:type="spellStart"/>
      <w:r w:rsidRPr="004C7401">
        <w:rPr>
          <w:rFonts w:eastAsia="Times New Roman" w:cs="Times New Roman"/>
          <w:sz w:val="24"/>
          <w:szCs w:val="24"/>
        </w:rPr>
        <w:t>ვეტერანი</w:t>
      </w:r>
      <w:proofErr w:type="spellEnd"/>
      <w:r w:rsidRPr="004C7401">
        <w:rPr>
          <w:rFonts w:eastAsia="Times New Roman" w:cs="Times New Roman"/>
          <w:sz w:val="24"/>
          <w:szCs w:val="24"/>
          <w:lang w:val="ka-GE"/>
        </w:rPr>
        <w:t xml:space="preserve">სთვის და აგრეთვე </w:t>
      </w:r>
      <w:proofErr w:type="spellStart"/>
      <w:r w:rsidRPr="004C7401">
        <w:rPr>
          <w:rFonts w:eastAsia="Times New Roman" w:cs="Times New Roman"/>
          <w:sz w:val="24"/>
          <w:szCs w:val="24"/>
        </w:rPr>
        <w:t>გორის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კასპის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ქარელის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ხაშურის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დუშეთის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ონის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საჩხერის</w:t>
      </w:r>
      <w:proofErr w:type="spellEnd"/>
      <w:r w:rsidRPr="004C7401">
        <w:rPr>
          <w:rFonts w:eastAsia="Times New Roman" w:cs="Times New Roman"/>
          <w:sz w:val="24"/>
          <w:szCs w:val="24"/>
          <w:lang w:val="ka-GE"/>
        </w:rPr>
        <w:t xml:space="preserve">, ზუგდიდის, მესტიისა წალენჯიხის </w:t>
      </w:r>
      <w:proofErr w:type="spellStart"/>
      <w:r w:rsidRPr="004C7401">
        <w:rPr>
          <w:rFonts w:eastAsia="Times New Roman" w:cs="Times New Roman"/>
          <w:sz w:val="24"/>
          <w:szCs w:val="24"/>
        </w:rPr>
        <w:t>მუნიციპალიტეტებში</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საქართველოს</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ოკუპირებულ</w:t>
      </w:r>
      <w:proofErr w:type="spellEnd"/>
      <w:r w:rsidRPr="004C7401">
        <w:rPr>
          <w:rFonts w:eastAsia="Times New Roman" w:cs="Times New Roman"/>
          <w:sz w:val="24"/>
          <w:szCs w:val="24"/>
        </w:rPr>
        <w:t xml:space="preserve"> </w:t>
      </w:r>
      <w:proofErr w:type="spellStart"/>
      <w:r w:rsidRPr="004C7401">
        <w:rPr>
          <w:rFonts w:eastAsia="Times New Roman" w:cs="Times New Roman"/>
          <w:sz w:val="24"/>
          <w:szCs w:val="24"/>
        </w:rPr>
        <w:t>ტერიტორიებთან</w:t>
      </w:r>
      <w:proofErr w:type="spellEnd"/>
      <w:r w:rsidRPr="004C7401">
        <w:rPr>
          <w:rFonts w:eastAsia="Times New Roman" w:cs="Times New Roman"/>
          <w:sz w:val="24"/>
          <w:szCs w:val="24"/>
        </w:rPr>
        <w:t xml:space="preserve"> </w:t>
      </w:r>
      <w:r w:rsidRPr="004C7401">
        <w:rPr>
          <w:rFonts w:eastAsia="Times New Roman" w:cs="Times New Roman"/>
          <w:sz w:val="24"/>
          <w:szCs w:val="24"/>
          <w:lang w:val="ka-GE"/>
        </w:rPr>
        <w:t xml:space="preserve">გამყოფი ხაზის მიმდებარე სოფლებში მცხოვრები მოსახლეობისთვის. კერძოდ,  ქრონიკული მედიკამენტების ხარჯები ანაზღაურდება სრულად, თანაგადახდის გარეშე (ნაცვლად 1 ლარისა), შესაბამისი ჯგუფისთვის განსაზღვრული ლიმიტების ფარგლებში.  </w:t>
      </w:r>
    </w:p>
    <w:p w:rsidR="00AD2E79" w:rsidRPr="004C7401" w:rsidRDefault="00AD2E79" w:rsidP="00020372">
      <w:pPr>
        <w:spacing w:before="100" w:beforeAutospacing="1" w:after="0" w:line="240" w:lineRule="auto"/>
        <w:ind w:firstLine="720"/>
        <w:jc w:val="both"/>
        <w:rPr>
          <w:rFonts w:ascii="Times New Roman" w:eastAsia="Times New Roman" w:hAnsi="Times New Roman" w:cs="Times New Roman"/>
          <w:sz w:val="24"/>
          <w:szCs w:val="24"/>
        </w:rPr>
      </w:pPr>
    </w:p>
    <w:p w:rsidR="00020372" w:rsidRDefault="00020372" w:rsidP="0080412F">
      <w:pPr>
        <w:pStyle w:val="ListParagraph"/>
      </w:pPr>
    </w:p>
    <w:p w:rsidR="00E72F67" w:rsidRPr="002B0C24" w:rsidRDefault="00E72F67" w:rsidP="00E72F67">
      <w:pPr>
        <w:pStyle w:val="ListParagraph"/>
        <w:shd w:val="clear" w:color="auto" w:fill="2E74B5" w:themeFill="accent1" w:themeFillShade="BF"/>
        <w:rPr>
          <w:b/>
          <w:lang w:val="ka-GE"/>
        </w:rPr>
      </w:pPr>
      <w:r w:rsidRPr="002B0C24">
        <w:rPr>
          <w:b/>
        </w:rPr>
        <w:t xml:space="preserve">IV </w:t>
      </w:r>
      <w:r>
        <w:rPr>
          <w:b/>
          <w:lang w:val="ka-GE"/>
        </w:rPr>
        <w:t xml:space="preserve">პჯდ, </w:t>
      </w:r>
      <w:r w:rsidRPr="002B0C24">
        <w:rPr>
          <w:b/>
          <w:lang w:val="ka-GE"/>
        </w:rPr>
        <w:t>ტელემედიცინა</w:t>
      </w:r>
      <w:r>
        <w:rPr>
          <w:b/>
          <w:lang w:val="ka-GE"/>
        </w:rPr>
        <w:t>, კომპიუტერი</w:t>
      </w:r>
    </w:p>
    <w:p w:rsidR="00E72F67" w:rsidRDefault="00E72F67" w:rsidP="00E72F67">
      <w:pPr>
        <w:pStyle w:val="ListParagraph"/>
      </w:pPr>
    </w:p>
    <w:p w:rsidR="00E72F67" w:rsidRPr="002B431B" w:rsidRDefault="00E72F67" w:rsidP="00E72F67">
      <w:pPr>
        <w:spacing w:before="100" w:beforeAutospacing="1" w:after="120" w:line="240" w:lineRule="auto"/>
        <w:ind w:firstLine="720"/>
        <w:jc w:val="both"/>
        <w:rPr>
          <w:rFonts w:ascii="Times New Roman" w:eastAsia="Times New Roman" w:hAnsi="Times New Roman" w:cs="Times New Roman"/>
          <w:sz w:val="24"/>
          <w:szCs w:val="24"/>
        </w:rPr>
      </w:pPr>
      <w:r w:rsidRPr="002B431B">
        <w:rPr>
          <w:rFonts w:eastAsia="Times New Roman" w:cs="Times New Roman"/>
          <w:sz w:val="24"/>
          <w:szCs w:val="24"/>
          <w:lang w:val="ka-GE"/>
        </w:rPr>
        <w:t>ხალხზე ორიენტირებული, გეოგრაფიულად ხელმისაწვდომი პირველადი ჯანდაცვის სისტემის შექმნ</w:t>
      </w:r>
      <w:r>
        <w:rPr>
          <w:rFonts w:eastAsia="Times New Roman" w:cs="Times New Roman"/>
          <w:sz w:val="24"/>
          <w:szCs w:val="24"/>
          <w:lang w:val="ka-GE"/>
        </w:rPr>
        <w:t>ის მიზნით</w:t>
      </w:r>
      <w:r w:rsidRPr="002B431B">
        <w:rPr>
          <w:rFonts w:eastAsia="Times New Roman" w:cs="Times New Roman"/>
          <w:sz w:val="24"/>
          <w:szCs w:val="24"/>
          <w:lang w:val="ka-GE"/>
        </w:rPr>
        <w:t xml:space="preserve">, რომელიც უზრუნველყოფს, მაღალხარისხიანი </w:t>
      </w:r>
      <w:r w:rsidRPr="002B431B">
        <w:rPr>
          <w:rFonts w:eastAsia="Times New Roman" w:cs="Times New Roman"/>
          <w:sz w:val="24"/>
          <w:szCs w:val="24"/>
          <w:lang w:val="ka-GE"/>
        </w:rPr>
        <w:lastRenderedPageBreak/>
        <w:t>პირველადი ჯანდაცვის სერვისების (პრევენცია,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r>
        <w:rPr>
          <w:rFonts w:eastAsia="Times New Roman" w:cs="Times New Roman"/>
          <w:sz w:val="24"/>
          <w:szCs w:val="24"/>
          <w:lang w:val="ka-GE"/>
        </w:rPr>
        <w:t xml:space="preserve">,  </w:t>
      </w:r>
      <w:r w:rsidRPr="002B431B">
        <w:rPr>
          <w:rFonts w:eastAsia="Times New Roman" w:cs="Times New Roman"/>
          <w:sz w:val="24"/>
          <w:szCs w:val="24"/>
          <w:lang w:val="ka-GE"/>
        </w:rPr>
        <w:t xml:space="preserve">პირველადი ჯანდაცვის რეფორმის ამ ეტაპზე, </w:t>
      </w:r>
      <w:r>
        <w:rPr>
          <w:rFonts w:eastAsia="Times New Roman" w:cs="Times New Roman"/>
          <w:sz w:val="24"/>
          <w:szCs w:val="24"/>
          <w:lang w:val="ka-GE"/>
        </w:rPr>
        <w:t xml:space="preserve"> განხორციელდა </w:t>
      </w:r>
      <w:r w:rsidRPr="002B431B">
        <w:rPr>
          <w:rFonts w:eastAsia="Times New Roman" w:cs="Times New Roman"/>
          <w:sz w:val="24"/>
          <w:szCs w:val="24"/>
          <w:lang w:val="ka-GE"/>
        </w:rPr>
        <w:t>„საყოველთაო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სამედიცინო დაწესებულებების სელექ</w:t>
      </w:r>
      <w:r>
        <w:rPr>
          <w:rFonts w:eastAsia="Times New Roman" w:cs="Times New Roman"/>
          <w:sz w:val="24"/>
          <w:szCs w:val="24"/>
          <w:lang w:val="ka-GE"/>
        </w:rPr>
        <w:t>ცია (</w:t>
      </w:r>
      <w:r w:rsidRPr="009465C9">
        <w:rPr>
          <w:rFonts w:cs="Sylfaen"/>
          <w:noProof/>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2020 წლის 9 იანვრის N15 </w:t>
      </w:r>
      <w:r>
        <w:rPr>
          <w:rFonts w:cs="Sylfaen"/>
          <w:noProof/>
        </w:rPr>
        <w:t>დადგენილება;</w:t>
      </w:r>
      <w:r>
        <w:rPr>
          <w:rFonts w:cs="Sylfaen"/>
          <w:noProof/>
          <w:lang w:val="ka-GE"/>
        </w:rPr>
        <w:t xml:space="preserve"> მოხსენებითი ბარათი ):</w:t>
      </w:r>
      <w:r>
        <w:rPr>
          <w:rFonts w:eastAsia="Times New Roman" w:cs="Times New Roman"/>
          <w:sz w:val="24"/>
          <w:szCs w:val="24"/>
          <w:lang w:val="ka-GE"/>
        </w:rPr>
        <w:t xml:space="preserve"> </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9465C9">
        <w:rPr>
          <w:rFonts w:cs="Sylfaen"/>
          <w:noProof/>
        </w:rPr>
        <w:t>2020 წლის 1 მაისიდან თვითმმართველ ქალაქებში – ქ. თბილისში, ქ. ბათუმსა და ქ. ქუთაისში მომსახურების მიმწოდებლად</w:t>
      </w:r>
      <w:r w:rsidRPr="00257038">
        <w:rPr>
          <w:rFonts w:cs="Sylfaen"/>
          <w:noProof/>
        </w:rPr>
        <w:t xml:space="preserve"> განისაზღვრა ის დაწესებულება,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lang w:val="ka-GE"/>
        </w:rPr>
        <w:t xml:space="preserve">დადგენილების მიხედვით, ასევე, </w:t>
      </w:r>
      <w:r w:rsidRPr="00257038">
        <w:rPr>
          <w:rFonts w:cs="Sylfaen"/>
          <w:noProof/>
        </w:rPr>
        <w:t>გამონაკლისი დაიშვება ქალაქების მუნიციპალიტეტებში არსებულ დაბებსა და სოფლებში მდებარე სამედიცინო დაწესებულებებზე, იძულებით გადაადგილებულ პირთა საოჯახო მედიცინის ცენტრებზე.</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rPr>
        <w:t xml:space="preserve">ამასთან, გარდამავალი პერიოდის დასრულების ბოლოს, არსებული სიტუაციის ანალიზის საფუძველზე, შესაძლებელია გამონაკლისი დაიშვას </w:t>
      </w:r>
      <w:r w:rsidRPr="00257038">
        <w:rPr>
          <w:rFonts w:cs="Sylfaen"/>
          <w:noProof/>
          <w:lang w:val="ka-GE"/>
        </w:rPr>
        <w:t>დამატებით,</w:t>
      </w:r>
      <w:r w:rsidRPr="00257038">
        <w:rPr>
          <w:rFonts w:cs="Sylfaen"/>
          <w:noProof/>
        </w:rPr>
        <w:t xml:space="preserve"> იმ სამედიცინო დაწესებულებებზე, რომელთა ფუნქციონირების შეწყვეტა შექმნის პრობლემას მოსახლეობისთვის პირველად ჯანდაცვაზე გეოგრაფიული ხელმისაწვდომობის კუთხით. აღნიშნული დაწესებულებების ნუსხა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rPr>
        <w:t>2020 წლის 30 აპრილის მდგომარეობით, საყოველთაო ჯანმრთელობის დაცვის პროგრამის გეგმური ამბულატორიული მომსახურების მიმწოდებელ დაწესებულებებში დარეგისტრირებული ბენეფიციარების რაოდენობის ანალიზის შესაბამისად, თვითმმართველ ქალაქებში – ქ. თბილისში, ქ. ბათუმსა და ქ. ქუთაისში, დადგენილებით განსაზღვრულ</w:t>
      </w:r>
      <w:r w:rsidRPr="00257038">
        <w:rPr>
          <w:rFonts w:cs="Sylfaen"/>
          <w:noProof/>
          <w:lang w:val="ka-GE"/>
        </w:rPr>
        <w:t>ი</w:t>
      </w:r>
      <w:r w:rsidRPr="00257038">
        <w:rPr>
          <w:rFonts w:cs="Sylfaen"/>
          <w:noProof/>
        </w:rPr>
        <w:t xml:space="preserve"> პირობა</w:t>
      </w:r>
      <w:r w:rsidRPr="00257038">
        <w:rPr>
          <w:rFonts w:cs="Sylfaen"/>
          <w:noProof/>
          <w:lang w:val="ka-GE"/>
        </w:rPr>
        <w:t xml:space="preserve"> დააკმაყოფილა 49 დაწესებულებამ, მათ შორის</w:t>
      </w:r>
      <w:r w:rsidRPr="00257038">
        <w:rPr>
          <w:rFonts w:cs="Sylfaen"/>
          <w:noProof/>
        </w:rPr>
        <w:t>:</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rPr>
        <w:t>ა) 13,000 და მეტი ბენეფიციარი - 40 (მ.შ. ქ. თბილისში - 28, ქ. ბათუმში - 6, ქ. ქუთაისში - 6) დაწესებულება;</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rPr>
        <w:t>ბ) ქალაქების მუნიციპალიტეტებში არსებულ დაბებსა და სოფლებში მდებარე სამედიცინო დაწესებულებები - 4 დაწესებულება;</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rPr>
        <w:t>გ) იძულებით გადაადგილებულ პირთა საოჯახო მედიცინის ცენტრები - 5 დაწესებულება.</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rPr>
      </w:pPr>
      <w:r w:rsidRPr="00257038">
        <w:rPr>
          <w:rFonts w:cs="Sylfaen"/>
          <w:noProof/>
          <w:lang w:val="ka-GE"/>
        </w:rPr>
        <w:t xml:space="preserve">გარდა ზემოაღნიშნული დაწესებულებებისა, </w:t>
      </w:r>
      <w:r w:rsidRPr="00257038">
        <w:rPr>
          <w:rFonts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თებერვლის N01-67/ო ბრძანებით შექმნილი სამინისტროს სათათბირო ორგანოს - პირველადი ჯანდაცვის საკოორდინაციო საბჭოს (შემდგომში - პჯდ საბჭო) 2020 წლის 30 აპრილის და 5 მაისის სხდომებზე მიღებული გადაწყვეტილებების შესაბამისად, </w:t>
      </w:r>
      <w:r w:rsidRPr="00257038">
        <w:rPr>
          <w:rFonts w:cs="Sylfaen"/>
          <w:noProof/>
        </w:rPr>
        <w:lastRenderedPageBreak/>
        <w:t xml:space="preserve">„საქართველოს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 თვითმმართველ ქალაქებში – ქ. თბილისში, ქ. ბათუმსა და ქ. ქუთაისში გეგმური ამბულატორიული მომსახურების მიმწოდებლად გამონაკლისის სახით სამედიცინო დაწესებულებების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7 მაისის N189/ო </w:t>
      </w:r>
      <w:r>
        <w:rPr>
          <w:rFonts w:cs="Sylfaen"/>
          <w:noProof/>
          <w:lang w:val="ka-GE"/>
        </w:rPr>
        <w:t xml:space="preserve">და </w:t>
      </w:r>
      <w:r w:rsidR="00AC157C">
        <w:rPr>
          <w:rFonts w:cs="Sylfaen"/>
          <w:noProof/>
          <w:lang w:val="ka-GE"/>
        </w:rPr>
        <w:t>27 მაისის N</w:t>
      </w:r>
      <w:r w:rsidR="00AC157C" w:rsidRPr="00F177EF">
        <w:rPr>
          <w:rFonts w:ascii="Times New Roman" w:eastAsia="Times New Roman" w:hAnsi="Times New Roman" w:cs="Times New Roman"/>
          <w:b/>
          <w:bCs/>
          <w:sz w:val="24"/>
          <w:szCs w:val="24"/>
        </w:rPr>
        <w:t>01-221/</w:t>
      </w:r>
      <w:r w:rsidR="00AC157C" w:rsidRPr="00F177EF">
        <w:rPr>
          <w:rFonts w:eastAsia="Times New Roman" w:cs="Sylfaen"/>
          <w:b/>
          <w:bCs/>
          <w:sz w:val="24"/>
          <w:szCs w:val="24"/>
        </w:rPr>
        <w:t>ო</w:t>
      </w:r>
      <w:r w:rsidR="00AC157C">
        <w:rPr>
          <w:rFonts w:eastAsia="Times New Roman" w:cs="Sylfaen"/>
          <w:b/>
          <w:bCs/>
          <w:sz w:val="24"/>
          <w:szCs w:val="24"/>
          <w:lang w:val="ka-GE"/>
        </w:rPr>
        <w:t xml:space="preserve"> </w:t>
      </w:r>
      <w:r w:rsidRPr="00257038">
        <w:rPr>
          <w:rFonts w:cs="Sylfaen"/>
          <w:noProof/>
        </w:rPr>
        <w:t xml:space="preserve">ბრძანებით, ქ. თბილისში, ქ. ბათუმსა და ქ. ქუთაისში გეგმური ამბულატორიული მომსახურების მიმწოდებლად, გეოგრაფიული ხელმისაწვდომობის გათვალისწინებით, დამატებით </w:t>
      </w:r>
      <w:r w:rsidRPr="00257038">
        <w:rPr>
          <w:rFonts w:cs="Sylfaen"/>
          <w:noProof/>
          <w:lang w:val="ka-GE"/>
        </w:rPr>
        <w:t>განისაზღვრა</w:t>
      </w:r>
      <w:r w:rsidRPr="00257038">
        <w:rPr>
          <w:rFonts w:cs="Sylfaen"/>
          <w:noProof/>
        </w:rPr>
        <w:t xml:space="preserve"> 3</w:t>
      </w:r>
      <w:r>
        <w:rPr>
          <w:rFonts w:cs="Sylfaen"/>
          <w:noProof/>
          <w:lang w:val="ka-GE"/>
        </w:rPr>
        <w:t>8</w:t>
      </w:r>
      <w:r w:rsidRPr="00257038">
        <w:rPr>
          <w:rFonts w:cs="Sylfaen"/>
          <w:noProof/>
        </w:rPr>
        <w:t xml:space="preserve"> </w:t>
      </w:r>
      <w:r w:rsidRPr="00257038">
        <w:rPr>
          <w:rFonts w:cs="Sylfaen"/>
          <w:noProof/>
          <w:lang w:val="ka-GE"/>
        </w:rPr>
        <w:t>(მ.შ. ქ.თბილისში - 3</w:t>
      </w:r>
      <w:r>
        <w:rPr>
          <w:rFonts w:cs="Sylfaen"/>
          <w:noProof/>
          <w:lang w:val="ka-GE"/>
        </w:rPr>
        <w:t>3</w:t>
      </w:r>
      <w:r w:rsidRPr="00257038">
        <w:rPr>
          <w:rFonts w:cs="Sylfaen"/>
          <w:noProof/>
          <w:lang w:val="ka-GE"/>
        </w:rPr>
        <w:t xml:space="preserve">, ქ. ბათუმში - 3 და ქ. ქუთაისში - 2) </w:t>
      </w:r>
      <w:r w:rsidRPr="00257038">
        <w:rPr>
          <w:rFonts w:cs="Sylfaen"/>
          <w:noProof/>
        </w:rPr>
        <w:t>დაწესებულება.</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lang w:val="ka-GE"/>
        </w:rPr>
      </w:pPr>
      <w:r w:rsidRPr="00257038">
        <w:rPr>
          <w:rFonts w:cs="Sylfaen"/>
          <w:noProof/>
          <w:lang w:val="ka-GE"/>
        </w:rPr>
        <w:t>აღნიშნული დაწესებულებების შერჩევისას საბჭომ გაითვალისწინა შემდეგი გარემოებები:</w:t>
      </w:r>
      <w:r w:rsidRPr="00257038">
        <w:rPr>
          <w:rFonts w:cs="Sylfaen"/>
          <w:noProof/>
        </w:rPr>
        <w:t xml:space="preserve"> (1) კოვიდ 19-ის ეპიდემიის გამო საშუალოზე მაღალი </w:t>
      </w:r>
      <w:r>
        <w:rPr>
          <w:rFonts w:cs="Sylfaen"/>
          <w:noProof/>
          <w:lang w:val="ka-GE"/>
        </w:rPr>
        <w:t xml:space="preserve">რაოდენობის </w:t>
      </w:r>
      <w:r w:rsidRPr="00257038">
        <w:rPr>
          <w:rFonts w:cs="Sylfaen"/>
          <w:noProof/>
        </w:rPr>
        <w:t>სამიზნე მოსახლეობის მქონე დაწესებულებებს არ მიეცათ აქტიური მარკეტინგის ჩატარების შესაძლებლობა, რამაც შეაფერხა დამატებითი მოსახლეობის მოზიდვა; (2) ამ დაწესებულებების გეოგრაფიული განაწილება ქმნის მოსახლეობისთვის ბაზისურ სერვისებზე ოპტიმალურ გეოგრაფიულ ხელმისაწვდომობას და ამასთანავე, დაწესებულებებს აქვთ მოსახლეობის დამატებისა და გაფართოვებისთვის საჭირო ინფრასტრუქტურა.</w:t>
      </w:r>
    </w:p>
    <w:p w:rsidR="00AD2E79" w:rsidRPr="00257038"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lang w:val="ka-GE"/>
        </w:rPr>
      </w:pPr>
      <w:r w:rsidRPr="00257038">
        <w:rPr>
          <w:rFonts w:cs="Sylfaen"/>
          <w:noProof/>
          <w:lang w:val="ka-GE"/>
        </w:rPr>
        <w:t>ზემოაღნიშნულის გათვალისწინებით, 2020 წლის 1 მაისიდან, საყოველთაო ჯანდაცვის პროგრამის გეგმური ამბულატორიული მომსახურების მიმწოდებლად, არსებული 140 დაწესებულებიდან სულ შეირჩა 8</w:t>
      </w:r>
      <w:r w:rsidR="00E72F67">
        <w:rPr>
          <w:rFonts w:cs="Sylfaen"/>
          <w:noProof/>
          <w:lang w:val="ka-GE"/>
        </w:rPr>
        <w:t>7</w:t>
      </w:r>
      <w:r w:rsidRPr="00257038">
        <w:rPr>
          <w:rFonts w:cs="Sylfaen"/>
          <w:noProof/>
          <w:lang w:val="ka-GE"/>
        </w:rPr>
        <w:t xml:space="preserve"> დაწესებულება, რომლებშიც განაწილებულია რეგისტრირებული მოსახლეობის 95%. </w:t>
      </w:r>
    </w:p>
    <w:p w:rsidR="00AD2E79" w:rsidRDefault="00AD2E79" w:rsidP="00AD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lang w:val="ka-GE"/>
        </w:rPr>
      </w:pPr>
      <w:r w:rsidRPr="00257038">
        <w:rPr>
          <w:rFonts w:cs="Sylfaen"/>
          <w:noProof/>
          <w:lang w:val="ka-GE"/>
        </w:rPr>
        <w:t xml:space="preserve">ამასთან, პროგრამის მიღმა დარჩენილ სამედიცინო დაწესებულებებში რეგისტრირებული მოსახლეობის (5%) გადამაგრების პროცესის ეფექტურად წარმართვის მიზნით, ქვეყანაში არსებული ეპიდსიტუაციისა და ბენეფიციარების ინტერესების გათვალისწინებით,  ბენეფიციარს თავიდანვე მიეცეს </w:t>
      </w:r>
      <w:r w:rsidRPr="00257038">
        <w:rPr>
          <w:rFonts w:cs="Sylfaen"/>
          <w:noProof/>
        </w:rPr>
        <w:t>გეგმური ამბულატორიული მომსახურების მისაღებად საჭირო რეგისტრაციისთვის თავისუფალი არჩევანის უფლება</w:t>
      </w:r>
      <w:r w:rsidRPr="00257038">
        <w:rPr>
          <w:rFonts w:cs="Sylfaen"/>
          <w:noProof/>
          <w:lang w:val="ka-GE"/>
        </w:rPr>
        <w:t xml:space="preserve"> პროგრამაში დარჩენილ დაწესებულებებს შორის. </w:t>
      </w:r>
    </w:p>
    <w:p w:rsidR="00E72F67" w:rsidRPr="002B431B" w:rsidRDefault="00E72F67" w:rsidP="00E72F6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Times New Roman" w:eastAsia="Times New Roman" w:hAnsi="Times New Roman" w:cs="Times New Roman"/>
          <w:sz w:val="24"/>
          <w:szCs w:val="24"/>
        </w:rPr>
      </w:pPr>
      <w:r w:rsidRPr="002B431B">
        <w:rPr>
          <w:rFonts w:eastAsia="Times New Roman" w:cs="Times New Roman"/>
          <w:sz w:val="24"/>
          <w:szCs w:val="24"/>
          <w:lang w:val="ka-GE"/>
        </w:rPr>
        <w:t>ასევე, განისაზღვრა მომსახურების მიმწოდებელი დაწესებულების ვალდებულება:</w:t>
      </w:r>
    </w:p>
    <w:p w:rsidR="00E72F67" w:rsidRPr="002B431B" w:rsidRDefault="00E72F67" w:rsidP="00E72F6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B431B">
        <w:rPr>
          <w:rFonts w:eastAsia="Times New Roman" w:cs="Times New Roman"/>
          <w:sz w:val="24"/>
          <w:szCs w:val="24"/>
          <w:lang w:val="ka-GE"/>
        </w:rPr>
        <w:t>პირველადი ჯანმრთელობის დაცვის მომსახურების მიწოდება აწარმოოს სრული პჯდ გუნდის (ოჯახის ან უბნის ექიმი და ექთანი) მეშვეობით;</w:t>
      </w:r>
    </w:p>
    <w:p w:rsidR="00E72F67" w:rsidRPr="002B431B" w:rsidRDefault="00E72F67" w:rsidP="00E72F6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B431B">
        <w:rPr>
          <w:rFonts w:eastAsia="Times New Roman" w:cs="Times New Roman"/>
          <w:sz w:val="24"/>
          <w:szCs w:val="24"/>
        </w:rPr>
        <w:t xml:space="preserve">1 </w:t>
      </w:r>
      <w:proofErr w:type="spellStart"/>
      <w:r w:rsidRPr="002B431B">
        <w:rPr>
          <w:rFonts w:eastAsia="Times New Roman" w:cs="Times New Roman"/>
          <w:sz w:val="24"/>
          <w:szCs w:val="24"/>
        </w:rPr>
        <w:t>პჯდ</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გუნდთან</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მიმაგრებული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მოსახლეობის</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საერთო</w:t>
      </w:r>
      <w:proofErr w:type="spellEnd"/>
      <w:r w:rsidRPr="002B431B">
        <w:rPr>
          <w:rFonts w:eastAsia="Times New Roman" w:cs="Times New Roman"/>
          <w:sz w:val="24"/>
          <w:szCs w:val="24"/>
          <w:lang w:val="ka-GE"/>
        </w:rPr>
        <w:t xml:space="preserve"> (პროგრამული და არაპროგრამული ბენეფიციარების ჯამი) </w:t>
      </w:r>
      <w:proofErr w:type="spellStart"/>
      <w:r w:rsidRPr="002B431B">
        <w:rPr>
          <w:rFonts w:eastAsia="Times New Roman" w:cs="Times New Roman"/>
          <w:sz w:val="24"/>
          <w:szCs w:val="24"/>
        </w:rPr>
        <w:t>რაოდენობა</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შეადგენდეს</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არა</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უმეტეს</w:t>
      </w:r>
      <w:proofErr w:type="spellEnd"/>
      <w:r w:rsidRPr="002B431B">
        <w:rPr>
          <w:rFonts w:eastAsia="Times New Roman" w:cs="Times New Roman"/>
          <w:sz w:val="24"/>
          <w:szCs w:val="24"/>
        </w:rPr>
        <w:t xml:space="preserve"> 2,500 </w:t>
      </w:r>
      <w:proofErr w:type="spellStart"/>
      <w:r w:rsidRPr="002B431B">
        <w:rPr>
          <w:rFonts w:eastAsia="Times New Roman" w:cs="Times New Roman"/>
          <w:sz w:val="24"/>
          <w:szCs w:val="24"/>
        </w:rPr>
        <w:t>მოსახლეს</w:t>
      </w:r>
      <w:proofErr w:type="spellEnd"/>
      <w:r w:rsidRPr="002B431B">
        <w:rPr>
          <w:rFonts w:eastAsia="Times New Roman" w:cs="Times New Roman"/>
          <w:sz w:val="24"/>
          <w:szCs w:val="24"/>
          <w:lang w:val="ka-GE"/>
        </w:rPr>
        <w:t>;</w:t>
      </w:r>
    </w:p>
    <w:p w:rsidR="00AC157C" w:rsidRDefault="00E72F67" w:rsidP="00AC157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B431B">
        <w:rPr>
          <w:rFonts w:eastAsia="Times New Roman" w:cs="Times New Roman"/>
          <w:sz w:val="24"/>
          <w:szCs w:val="24"/>
        </w:rPr>
        <w:t>მონაწილეობა</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მიიღოს</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დადგენილი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წესით</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პრევენციულ</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და</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სკრინინგის</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პროგრამებში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მ.შ</w:t>
      </w:r>
      <w:proofErr w:type="spellEnd"/>
      <w:r w:rsidRPr="002B431B">
        <w:rPr>
          <w:rFonts w:eastAsia="Times New Roman" w:cs="Times New Roman"/>
          <w:sz w:val="24"/>
          <w:szCs w:val="24"/>
        </w:rPr>
        <w:t xml:space="preserve">. C </w:t>
      </w:r>
      <w:proofErr w:type="spellStart"/>
      <w:r w:rsidRPr="002B431B">
        <w:rPr>
          <w:rFonts w:eastAsia="Times New Roman" w:cs="Times New Roman"/>
          <w:sz w:val="24"/>
          <w:szCs w:val="24"/>
        </w:rPr>
        <w:t>ჰეპატიტი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ტუბერკულოზი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აივ</w:t>
      </w:r>
      <w:proofErr w:type="spellEnd"/>
      <w:r w:rsidRPr="002B431B">
        <w:rPr>
          <w:rFonts w:eastAsia="Times New Roman" w:cs="Times New Roman"/>
          <w:sz w:val="24"/>
          <w:szCs w:val="24"/>
        </w:rPr>
        <w:t>/</w:t>
      </w:r>
      <w:proofErr w:type="spellStart"/>
      <w:r w:rsidRPr="002B431B">
        <w:rPr>
          <w:rFonts w:eastAsia="Times New Roman" w:cs="Times New Roman"/>
          <w:sz w:val="24"/>
          <w:szCs w:val="24"/>
        </w:rPr>
        <w:t>შიდსი</w:t>
      </w:r>
      <w:proofErr w:type="spellEnd"/>
      <w:r w:rsidRPr="002B431B">
        <w:rPr>
          <w:rFonts w:eastAsia="Times New Roman" w:cs="Times New Roman"/>
          <w:sz w:val="24"/>
          <w:szCs w:val="24"/>
        </w:rPr>
        <w:t xml:space="preserve">, </w:t>
      </w:r>
      <w:proofErr w:type="spellStart"/>
      <w:r w:rsidRPr="002B431B">
        <w:rPr>
          <w:rFonts w:eastAsia="Times New Roman" w:cs="Times New Roman"/>
          <w:sz w:val="24"/>
          <w:szCs w:val="24"/>
        </w:rPr>
        <w:t>იმუნიზაცია</w:t>
      </w:r>
      <w:proofErr w:type="spellEnd"/>
      <w:r w:rsidRPr="002B431B">
        <w:rPr>
          <w:rFonts w:eastAsia="Times New Roman" w:cs="Times New Roman"/>
          <w:sz w:val="24"/>
          <w:szCs w:val="24"/>
        </w:rPr>
        <w:t>)</w:t>
      </w:r>
      <w:r w:rsidRPr="002B431B">
        <w:rPr>
          <w:rFonts w:eastAsia="Times New Roman" w:cs="Times New Roman"/>
          <w:sz w:val="24"/>
          <w:szCs w:val="24"/>
          <w:lang w:val="ka-GE"/>
        </w:rPr>
        <w:t>;</w:t>
      </w:r>
    </w:p>
    <w:p w:rsidR="00E72F67" w:rsidRPr="00AC157C" w:rsidRDefault="00E72F67" w:rsidP="00AC157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C157C">
        <w:rPr>
          <w:rFonts w:eastAsia="Times New Roman" w:cs="Times New Roman"/>
          <w:sz w:val="24"/>
          <w:szCs w:val="24"/>
          <w:lang w:val="ka-GE"/>
        </w:rPr>
        <w:t xml:space="preserve">უზრუნველყოს ოჯახის/უბნის ექიმების ჩართულობა უწყვეტი სამედიცინო განათლების სისტემაში. </w:t>
      </w:r>
    </w:p>
    <w:p w:rsidR="00CD326B" w:rsidRDefault="00CD326B" w:rsidP="00CD326B">
      <w:pPr>
        <w:pStyle w:val="ListParagraph"/>
        <w:shd w:val="clear" w:color="auto" w:fill="2E74B5" w:themeFill="accent1" w:themeFillShade="BF"/>
      </w:pPr>
      <w:proofErr w:type="gramStart"/>
      <w:r>
        <w:t>III.</w:t>
      </w:r>
      <w:proofErr w:type="gramEnd"/>
      <w:r>
        <w:t xml:space="preserve"> </w:t>
      </w:r>
    </w:p>
    <w:p w:rsidR="00CD326B" w:rsidRDefault="00CD326B" w:rsidP="00CD326B">
      <w:pPr>
        <w:pStyle w:val="ListParagraph"/>
      </w:pPr>
    </w:p>
    <w:p w:rsidR="00CD326B" w:rsidRDefault="00CD326B" w:rsidP="00CD326B">
      <w:pPr>
        <w:pStyle w:val="ListParagraph"/>
        <w:ind w:left="0"/>
        <w:jc w:val="both"/>
        <w:rPr>
          <w:rFonts w:asciiTheme="minorHAnsi" w:eastAsia="Times New Roman" w:hAnsiTheme="minorHAnsi" w:cs="Times New Roman"/>
          <w:b/>
          <w:bCs/>
          <w:sz w:val="24"/>
          <w:szCs w:val="24"/>
          <w:lang w:val="ka-GE"/>
        </w:rPr>
      </w:pPr>
      <w:r>
        <w:t xml:space="preserve">„2019 </w:t>
      </w:r>
      <w:proofErr w:type="spellStart"/>
      <w:r>
        <w:t>წლის</w:t>
      </w:r>
      <w:proofErr w:type="spellEnd"/>
      <w:r>
        <w:t xml:space="preserve"> </w:t>
      </w:r>
      <w:proofErr w:type="spellStart"/>
      <w:r>
        <w:t>ჯანმრთელობის</w:t>
      </w:r>
      <w:proofErr w:type="spellEnd"/>
      <w:r>
        <w:t xml:space="preserve"> </w:t>
      </w:r>
      <w:proofErr w:type="spellStart"/>
      <w:r>
        <w:t>დაცვის</w:t>
      </w:r>
      <w:proofErr w:type="spellEnd"/>
      <w:r>
        <w:t xml:space="preserve"> </w:t>
      </w:r>
      <w:proofErr w:type="spellStart"/>
      <w:r>
        <w:t>სახელმწიფო</w:t>
      </w:r>
      <w:proofErr w:type="spellEnd"/>
      <w:r>
        <w:t xml:space="preserve"> </w:t>
      </w:r>
      <w:proofErr w:type="spellStart"/>
      <w:r>
        <w:t>პროგრამების</w:t>
      </w:r>
      <w:proofErr w:type="spellEnd"/>
      <w:r>
        <w:t xml:space="preserve"> </w:t>
      </w:r>
      <w:proofErr w:type="spellStart"/>
      <w:r>
        <w:t>დამტკიცების</w:t>
      </w:r>
      <w:proofErr w:type="spellEnd"/>
      <w:r>
        <w:t xml:space="preserve"> </w:t>
      </w:r>
      <w:proofErr w:type="spellStart"/>
      <w:r>
        <w:t>შესახებ</w:t>
      </w:r>
      <w:proofErr w:type="spellEnd"/>
      <w:r>
        <w:t xml:space="preserve">“ </w:t>
      </w:r>
      <w:proofErr w:type="spellStart"/>
      <w:r>
        <w:t>საქართველოს</w:t>
      </w:r>
      <w:proofErr w:type="spellEnd"/>
      <w:r>
        <w:t xml:space="preserve"> </w:t>
      </w:r>
      <w:proofErr w:type="spellStart"/>
      <w:r>
        <w:t>მთავრობის</w:t>
      </w:r>
      <w:proofErr w:type="spellEnd"/>
      <w:r>
        <w:t xml:space="preserve"> 2018 </w:t>
      </w:r>
      <w:proofErr w:type="spellStart"/>
      <w:r>
        <w:t>წლის</w:t>
      </w:r>
      <w:proofErr w:type="spellEnd"/>
      <w:r>
        <w:t xml:space="preserve"> 31 </w:t>
      </w:r>
      <w:proofErr w:type="spellStart"/>
      <w:r>
        <w:t>დეკემბრის</w:t>
      </w:r>
      <w:proofErr w:type="spellEnd"/>
      <w:r>
        <w:t xml:space="preserve"> №693 </w:t>
      </w:r>
      <w:proofErr w:type="spellStart"/>
      <w:r>
        <w:t>დადგენილებაში</w:t>
      </w:r>
      <w:proofErr w:type="spellEnd"/>
      <w:r>
        <w:t xml:space="preserve"> </w:t>
      </w:r>
      <w:proofErr w:type="spellStart"/>
      <w:r>
        <w:t>ცვლილების</w:t>
      </w:r>
      <w:proofErr w:type="spellEnd"/>
      <w:r>
        <w:t xml:space="preserve"> </w:t>
      </w:r>
      <w:proofErr w:type="spellStart"/>
      <w:r>
        <w:t>შეტანის</w:t>
      </w:r>
      <w:proofErr w:type="spellEnd"/>
      <w:r>
        <w:t xml:space="preserve"> </w:t>
      </w:r>
      <w:proofErr w:type="spellStart"/>
      <w:r>
        <w:t>თაობაზე</w:t>
      </w:r>
      <w:proofErr w:type="spellEnd"/>
      <w:r>
        <w:t xml:space="preserve">” </w:t>
      </w:r>
      <w:proofErr w:type="spellStart"/>
      <w:r>
        <w:t>საქართველოს</w:t>
      </w:r>
      <w:proofErr w:type="spellEnd"/>
      <w:r>
        <w:t xml:space="preserve"> </w:t>
      </w:r>
      <w:proofErr w:type="spellStart"/>
      <w:r>
        <w:t>მთავრობის</w:t>
      </w:r>
      <w:proofErr w:type="spellEnd"/>
      <w:r>
        <w:t xml:space="preserve"> 2019 </w:t>
      </w:r>
      <w:proofErr w:type="spellStart"/>
      <w:r>
        <w:t>წლის</w:t>
      </w:r>
      <w:proofErr w:type="spellEnd"/>
      <w:r>
        <w:t xml:space="preserve"> 8 </w:t>
      </w:r>
      <w:proofErr w:type="spellStart"/>
      <w:r>
        <w:t>ნოემბრი</w:t>
      </w:r>
      <w:proofErr w:type="spellEnd"/>
      <w:r>
        <w:rPr>
          <w:lang w:val="ka-GE"/>
        </w:rPr>
        <w:t xml:space="preserve">ს N539 დადგენილება (მოხსენებითი ბარათი </w:t>
      </w:r>
      <w:r>
        <w:t>N</w:t>
      </w:r>
      <w:r w:rsidRPr="00384092">
        <w:rPr>
          <w:rFonts w:ascii="Times New Roman" w:eastAsia="Times New Roman" w:hAnsi="Times New Roman" w:cs="Times New Roman"/>
          <w:b/>
          <w:bCs/>
          <w:sz w:val="24"/>
          <w:szCs w:val="24"/>
        </w:rPr>
        <w:t>01-10784</w:t>
      </w:r>
      <w:r>
        <w:rPr>
          <w:rFonts w:ascii="Times New Roman" w:eastAsia="Times New Roman" w:hAnsi="Times New Roman" w:cs="Times New Roman"/>
          <w:b/>
          <w:bCs/>
          <w:sz w:val="24"/>
          <w:szCs w:val="24"/>
        </w:rPr>
        <w:t xml:space="preserve"> 17.10.19</w:t>
      </w:r>
      <w:r>
        <w:rPr>
          <w:rFonts w:asciiTheme="minorHAnsi" w:eastAsia="Times New Roman" w:hAnsiTheme="minorHAnsi" w:cs="Times New Roman"/>
          <w:b/>
          <w:bCs/>
          <w:sz w:val="24"/>
          <w:szCs w:val="24"/>
          <w:lang w:val="ka-GE"/>
        </w:rPr>
        <w:t>):</w:t>
      </w:r>
    </w:p>
    <w:p w:rsidR="00CD326B" w:rsidRPr="00384092" w:rsidRDefault="00CD326B" w:rsidP="00CD326B">
      <w:pPr>
        <w:pStyle w:val="ListParagraph"/>
        <w:ind w:left="0"/>
        <w:jc w:val="both"/>
        <w:rPr>
          <w:rFonts w:asciiTheme="minorHAnsi" w:hAnsiTheme="minorHAnsi"/>
          <w:lang w:val="ka-GE"/>
        </w:rPr>
      </w:pPr>
    </w:p>
    <w:p w:rsidR="00CD326B" w:rsidRPr="005A7979" w:rsidRDefault="00CD326B" w:rsidP="00CD326B">
      <w:pPr>
        <w:pStyle w:val="ListParagraph"/>
        <w:numPr>
          <w:ilvl w:val="0"/>
          <w:numId w:val="21"/>
        </w:numPr>
        <w:spacing w:before="100" w:beforeAutospacing="1" w:after="120" w:line="240" w:lineRule="auto"/>
        <w:jc w:val="both"/>
        <w:rPr>
          <w:rFonts w:ascii="Times New Roman" w:eastAsia="Times New Roman" w:hAnsi="Times New Roman" w:cs="Times New Roman"/>
          <w:sz w:val="20"/>
          <w:szCs w:val="20"/>
        </w:rPr>
      </w:pPr>
      <w:r w:rsidRPr="005A7979">
        <w:rPr>
          <w:rFonts w:ascii="Times New Roman" w:eastAsia="Times New Roman" w:hAnsi="Times New Roman" w:cs="Times New Roman"/>
          <w:sz w:val="24"/>
          <w:szCs w:val="24"/>
          <w:lang w:val="ka-GE"/>
        </w:rPr>
        <w:t>,,</w:t>
      </w:r>
      <w:r w:rsidRPr="005A7979">
        <w:rPr>
          <w:rFonts w:eastAsia="Times New Roman" w:cs="Sylfaen"/>
          <w:sz w:val="24"/>
          <w:szCs w:val="24"/>
          <w:lang w:val="ka-GE"/>
        </w:rPr>
        <w:t>ინკურაბელურ</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პაციენტთა</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პალიატიური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მზრუნველობის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სახელმწიფო</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პროგრამის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ფარგლებში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არსებული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დეფიციტის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თაობაზე</w:t>
      </w:r>
      <w:r w:rsidRPr="005A7979">
        <w:rPr>
          <w:rFonts w:ascii="Times New Roman" w:eastAsia="Times New Roman" w:hAnsi="Times New Roman" w:cs="Times New Roman"/>
          <w:sz w:val="24"/>
          <w:szCs w:val="24"/>
          <w:lang w:val="ka-GE"/>
        </w:rPr>
        <w:t xml:space="preserve">. </w:t>
      </w:r>
    </w:p>
    <w:p w:rsidR="00CD326B" w:rsidRPr="005A7979" w:rsidRDefault="00CD326B" w:rsidP="00CD326B">
      <w:pPr>
        <w:pStyle w:val="ListParagraph"/>
        <w:numPr>
          <w:ilvl w:val="0"/>
          <w:numId w:val="21"/>
        </w:numPr>
        <w:spacing w:before="100" w:beforeAutospacing="1" w:after="120" w:line="240" w:lineRule="auto"/>
        <w:jc w:val="both"/>
        <w:rPr>
          <w:rFonts w:ascii="Times New Roman" w:eastAsia="Times New Roman" w:hAnsi="Times New Roman" w:cs="Times New Roman"/>
          <w:sz w:val="20"/>
          <w:szCs w:val="20"/>
        </w:rPr>
      </w:pPr>
      <w:r w:rsidRPr="005A7979">
        <w:rPr>
          <w:rFonts w:eastAsia="Times New Roman" w:cs="Sylfaen"/>
          <w:sz w:val="24"/>
          <w:szCs w:val="24"/>
          <w:lang w:val="ka-GE"/>
        </w:rPr>
        <w:t>ვინაიდან</w:t>
      </w:r>
      <w:r w:rsidRPr="005A7979">
        <w:rPr>
          <w:rFonts w:ascii="Times New Roman" w:eastAsia="Times New Roman" w:hAnsi="Times New Roman" w:cs="Times New Roman"/>
          <w:sz w:val="24"/>
          <w:szCs w:val="24"/>
          <w:lang w:val="ka-GE"/>
        </w:rPr>
        <w:t xml:space="preserve"> „2019 </w:t>
      </w:r>
      <w:r w:rsidRPr="005A7979">
        <w:rPr>
          <w:rFonts w:eastAsia="Times New Roman" w:cs="Sylfaen"/>
          <w:sz w:val="24"/>
          <w:szCs w:val="24"/>
          <w:lang w:val="ka-GE"/>
        </w:rPr>
        <w:t>წლის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ჯანმრთელობის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დაცვის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სახელმწიფო</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პროგრამების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დამტკიცების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შესახებ</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საქართველოს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მთავრობის</w:t>
      </w:r>
      <w:r w:rsidRPr="005A7979">
        <w:rPr>
          <w:rFonts w:ascii="Times New Roman" w:eastAsia="Times New Roman" w:hAnsi="Times New Roman" w:cs="Times New Roman"/>
          <w:sz w:val="24"/>
          <w:szCs w:val="24"/>
          <w:lang w:val="ka-GE"/>
        </w:rPr>
        <w:t xml:space="preserve"> 2018 </w:t>
      </w:r>
      <w:r w:rsidRPr="005A7979">
        <w:rPr>
          <w:rFonts w:eastAsia="Times New Roman" w:cs="Sylfaen"/>
          <w:sz w:val="24"/>
          <w:szCs w:val="24"/>
          <w:lang w:val="ka-GE"/>
        </w:rPr>
        <w:t>წლის</w:t>
      </w:r>
      <w:r w:rsidRPr="005A7979">
        <w:rPr>
          <w:rFonts w:ascii="Times New Roman" w:eastAsia="Times New Roman" w:hAnsi="Times New Roman" w:cs="Times New Roman"/>
          <w:sz w:val="24"/>
          <w:szCs w:val="24"/>
          <w:lang w:val="ka-GE"/>
        </w:rPr>
        <w:t xml:space="preserve"> 31 </w:t>
      </w:r>
      <w:r w:rsidRPr="005A7979">
        <w:rPr>
          <w:rFonts w:eastAsia="Times New Roman" w:cs="Sylfaen"/>
          <w:sz w:val="24"/>
          <w:szCs w:val="24"/>
          <w:lang w:val="ka-GE"/>
        </w:rPr>
        <w:t>დეკემბრის</w:t>
      </w:r>
      <w:r w:rsidRPr="005A7979">
        <w:rPr>
          <w:rFonts w:ascii="Times New Roman" w:eastAsia="Times New Roman" w:hAnsi="Times New Roman" w:cs="Times New Roman"/>
          <w:sz w:val="24"/>
          <w:szCs w:val="24"/>
          <w:lang w:val="ka-GE"/>
        </w:rPr>
        <w:t xml:space="preserve"> N693 </w:t>
      </w:r>
      <w:r w:rsidRPr="005A7979">
        <w:rPr>
          <w:rFonts w:eastAsia="Times New Roman" w:cs="Sylfaen"/>
          <w:sz w:val="24"/>
          <w:szCs w:val="24"/>
          <w:lang w:val="ka-GE"/>
        </w:rPr>
        <w:t>დადგენილებაში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ინფექციური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დაავადებების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მართვის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სახელმწიფო</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პროგრამის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შესაბამისი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პროგრამული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კოდი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აღარ</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არსებობს</w:t>
      </w:r>
      <w:r w:rsidRPr="005A7979">
        <w:rPr>
          <w:rFonts w:ascii="Times New Roman" w:eastAsia="Times New Roman" w:hAnsi="Times New Roman" w:cs="Times New Roman"/>
          <w:sz w:val="24"/>
          <w:szCs w:val="24"/>
          <w:lang w:val="ka-GE"/>
        </w:rPr>
        <w:t xml:space="preserve">, </w:t>
      </w:r>
      <w:r>
        <w:rPr>
          <w:rFonts w:asciiTheme="minorHAnsi" w:eastAsia="Times New Roman" w:hAnsiTheme="minorHAnsi" w:cs="Times New Roman"/>
          <w:sz w:val="24"/>
          <w:szCs w:val="24"/>
          <w:lang w:val="ka-GE"/>
        </w:rPr>
        <w:t xml:space="preserve">2018 წელს არსებული სადავო შემთხვევების </w:t>
      </w:r>
      <w:r w:rsidRPr="005A7979">
        <w:rPr>
          <w:rFonts w:eastAsia="Times New Roman" w:cs="Sylfaen"/>
          <w:sz w:val="24"/>
          <w:szCs w:val="24"/>
          <w:lang w:val="ka-GE"/>
        </w:rPr>
        <w:t>ანაზღაურება</w:t>
      </w:r>
      <w:r w:rsidRPr="005A7979">
        <w:rPr>
          <w:rFonts w:ascii="Times New Roman" w:eastAsia="Times New Roman" w:hAnsi="Times New Roman" w:cs="Times New Roman"/>
          <w:sz w:val="24"/>
          <w:szCs w:val="24"/>
          <w:lang w:val="ka-GE"/>
        </w:rPr>
        <w:t>,  </w:t>
      </w:r>
      <w:r w:rsidRPr="005A7979">
        <w:rPr>
          <w:rFonts w:eastAsia="Times New Roman" w:cs="Sylfaen"/>
          <w:sz w:val="24"/>
          <w:szCs w:val="24"/>
          <w:lang w:val="ka-GE"/>
        </w:rPr>
        <w:t>განხორციელდე</w:t>
      </w:r>
      <w:r>
        <w:rPr>
          <w:rFonts w:eastAsia="Times New Roman" w:cs="Sylfaen"/>
          <w:sz w:val="24"/>
          <w:szCs w:val="24"/>
          <w:lang w:val="ka-GE"/>
        </w:rPr>
        <w:t>ბა</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რეფერალური</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დახმარების</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სახელმწიფო</w:t>
      </w:r>
      <w:r w:rsidRPr="005A7979">
        <w:rPr>
          <w:rFonts w:ascii="Times New Roman" w:eastAsia="Times New Roman" w:hAnsi="Times New Roman" w:cs="Times New Roman"/>
          <w:sz w:val="24"/>
          <w:szCs w:val="24"/>
          <w:lang w:val="ka-GE"/>
        </w:rPr>
        <w:t xml:space="preserve"> </w:t>
      </w:r>
      <w:r w:rsidRPr="005A7979">
        <w:rPr>
          <w:rFonts w:eastAsia="Times New Roman" w:cs="Sylfaen"/>
          <w:sz w:val="24"/>
          <w:szCs w:val="24"/>
          <w:lang w:val="ka-GE"/>
        </w:rPr>
        <w:t>პროგრამიდან</w:t>
      </w:r>
      <w:r w:rsidRPr="005A7979">
        <w:rPr>
          <w:rFonts w:ascii="Times New Roman" w:eastAsia="Times New Roman" w:hAnsi="Times New Roman" w:cs="Times New Roman"/>
          <w:sz w:val="24"/>
          <w:szCs w:val="24"/>
          <w:lang w:val="ka-GE"/>
        </w:rPr>
        <w:t>.   </w:t>
      </w:r>
    </w:p>
    <w:p w:rsidR="00CD326B" w:rsidRDefault="00CD326B" w:rsidP="00CD326B"/>
    <w:p w:rsidR="001D0ECE" w:rsidRPr="001D0ECE" w:rsidRDefault="001D0ECE" w:rsidP="00F0192C">
      <w:pPr>
        <w:shd w:val="clear" w:color="auto" w:fill="9CC2E5" w:themeFill="accent1" w:themeFillTint="99"/>
        <w:spacing w:before="100" w:beforeAutospacing="1" w:after="100" w:afterAutospacing="1" w:line="240" w:lineRule="auto"/>
        <w:jc w:val="both"/>
        <w:rPr>
          <w:rFonts w:eastAsia="Times New Roman" w:cs="Times New Roman"/>
          <w:b/>
          <w:sz w:val="24"/>
          <w:szCs w:val="24"/>
          <w:u w:val="single"/>
          <w:lang w:val="ka-GE"/>
        </w:rPr>
      </w:pPr>
      <w:r w:rsidRPr="001D0ECE">
        <w:rPr>
          <w:rFonts w:eastAsia="Times New Roman" w:cs="Times New Roman"/>
          <w:b/>
          <w:sz w:val="24"/>
          <w:szCs w:val="24"/>
          <w:u w:val="single"/>
          <w:lang w:val="ka-GE"/>
        </w:rPr>
        <w:t>„იშვიათი დაავადებების მქონე და მუდმივ ჩანაცვლებით მკურნალობას დაქვემდებარებულ პაციენტთა</w:t>
      </w:r>
      <w:r w:rsidRPr="001D0ECE">
        <w:rPr>
          <w:rFonts w:eastAsia="Times New Roman" w:cs="Times New Roman"/>
          <w:b/>
          <w:sz w:val="24"/>
          <w:szCs w:val="24"/>
          <w:u w:val="single"/>
          <w:lang w:val="ka-GE"/>
        </w:rPr>
        <w:t xml:space="preserve"> მკურნალობის სახელმწიფო პროგრამა</w:t>
      </w:r>
      <w:r w:rsidRPr="001D0ECE">
        <w:rPr>
          <w:rFonts w:eastAsia="Times New Roman" w:cs="Times New Roman"/>
          <w:b/>
          <w:sz w:val="24"/>
          <w:szCs w:val="24"/>
          <w:u w:val="single"/>
          <w:lang w:val="ka-GE"/>
        </w:rPr>
        <w:t xml:space="preserve">“ </w:t>
      </w:r>
    </w:p>
    <w:p w:rsidR="001D0ECE" w:rsidRPr="001D0ECE" w:rsidRDefault="001D0ECE" w:rsidP="001D0ECE">
      <w:pPr>
        <w:spacing w:before="100" w:beforeAutospacing="1" w:after="100" w:afterAutospacing="1" w:line="240" w:lineRule="auto"/>
        <w:ind w:firstLine="720"/>
        <w:jc w:val="both"/>
        <w:rPr>
          <w:rFonts w:ascii="Times New Roman" w:eastAsia="Times New Roman" w:hAnsi="Times New Roman" w:cs="Times New Roman"/>
          <w:sz w:val="24"/>
          <w:szCs w:val="24"/>
          <w:lang w:val="ka-GE"/>
        </w:rPr>
      </w:pPr>
      <w:r w:rsidRPr="001D6CB5">
        <w:rPr>
          <w:rFonts w:eastAsia="Times New Roman" w:cs="Times New Roman"/>
          <w:sz w:val="24"/>
          <w:szCs w:val="24"/>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ამბულატორიული მომსახურების კომპონენტი ფინანსდება გლობალური ბიუჯეტის პრინციპით (ბიუჯეტი შეადგენს 70 000 ლარს) და ითვალისწინებს </w:t>
      </w:r>
      <w:r w:rsidRPr="001D0ECE">
        <w:rPr>
          <w:rFonts w:eastAsia="Times New Roman" w:cs="Times New Roman"/>
          <w:sz w:val="24"/>
          <w:szCs w:val="24"/>
          <w:lang w:val="ka-GE"/>
        </w:rPr>
        <w:t>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sidRPr="001D6CB5">
        <w:rPr>
          <w:rFonts w:eastAsia="Times New Roman" w:cs="Times New Roman"/>
          <w:sz w:val="24"/>
          <w:szCs w:val="24"/>
          <w:lang w:val="ka-GE"/>
        </w:rPr>
        <w:t>,  </w:t>
      </w:r>
      <w:r w:rsidRPr="001D0ECE">
        <w:rPr>
          <w:rFonts w:eastAsia="Times New Roman" w:cs="Times New Roman"/>
          <w:sz w:val="24"/>
          <w:szCs w:val="24"/>
          <w:lang w:val="ka-GE"/>
        </w:rPr>
        <w:t>რეცეპტებისა და სამედიცინო ცნობების გაცემას</w:t>
      </w:r>
      <w:r w:rsidRPr="001D6CB5">
        <w:rPr>
          <w:rFonts w:eastAsia="Times New Roman" w:cs="Times New Roman"/>
          <w:sz w:val="24"/>
          <w:szCs w:val="24"/>
          <w:lang w:val="ka-GE"/>
        </w:rPr>
        <w:t>.</w:t>
      </w:r>
    </w:p>
    <w:p w:rsidR="001D0ECE" w:rsidRPr="001D0ECE" w:rsidRDefault="001D0ECE" w:rsidP="001D0ECE">
      <w:pPr>
        <w:spacing w:before="100" w:beforeAutospacing="1" w:after="100" w:afterAutospacing="1" w:line="240" w:lineRule="auto"/>
        <w:ind w:firstLine="720"/>
        <w:jc w:val="both"/>
        <w:rPr>
          <w:rFonts w:ascii="Times New Roman" w:eastAsia="Times New Roman" w:hAnsi="Times New Roman" w:cs="Times New Roman"/>
          <w:sz w:val="24"/>
          <w:szCs w:val="24"/>
          <w:lang w:val="ka-GE"/>
        </w:rPr>
      </w:pPr>
      <w:r w:rsidRPr="001D6CB5">
        <w:rPr>
          <w:rFonts w:eastAsia="Times New Roman" w:cs="Times New Roman"/>
          <w:sz w:val="24"/>
          <w:szCs w:val="24"/>
          <w:lang w:val="ka-GE"/>
        </w:rPr>
        <w:t xml:space="preserve">გამომდინარე იქიდან, რომ პროგრამაში მომსახურების მოცულობა (სპეციალისტთა კონსულტაციების რაოდენობა, კვლევების სახეობა, ჯერადობა და ა.შ) არ </w:t>
      </w:r>
      <w:r>
        <w:rPr>
          <w:rFonts w:eastAsia="Times New Roman" w:cs="Times New Roman"/>
          <w:sz w:val="24"/>
          <w:szCs w:val="24"/>
          <w:lang w:val="ka-GE"/>
        </w:rPr>
        <w:t>იყო  დაკონკრეტებული, ხშირი იყო</w:t>
      </w:r>
      <w:r w:rsidRPr="001D6CB5">
        <w:rPr>
          <w:rFonts w:eastAsia="Times New Roman" w:cs="Times New Roman"/>
          <w:sz w:val="24"/>
          <w:szCs w:val="24"/>
          <w:lang w:val="ka-GE"/>
        </w:rPr>
        <w:t xml:space="preserve">  უკმაყოფილება პაციენტების მხრიდან,  რის გამოც, საქართველოს მთავრობის 2019 წლის 31 დეკემბრის N674 დადგენილებით დამტკიცებული 2020 წლის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პროგრამით“ განისაზღვრა, რომ ამბულატორიული მეთვალყურეობის კომპონენტით გათვალისწინებული მომსახურების მოცულობა განისაზღვრება მინისტრის შესაბამისი ადმინისტრაციულ-სამართლებრივი აქტით. </w:t>
      </w:r>
      <w:r>
        <w:rPr>
          <w:rFonts w:eastAsia="Times New Roman" w:cs="Times New Roman"/>
          <w:sz w:val="24"/>
          <w:szCs w:val="24"/>
          <w:lang w:val="ka-GE"/>
        </w:rPr>
        <w:t>შესაბამისად, მომზადდა და დამტკიცდა მინისტრის ბრზანება „</w:t>
      </w:r>
      <w:r w:rsidRPr="001D6CB5">
        <w:rPr>
          <w:rFonts w:eastAsia="Times New Roman" w:cs="Times New Roman"/>
          <w:sz w:val="24"/>
          <w:szCs w:val="24"/>
          <w:lang w:val="ka-GE"/>
        </w:rPr>
        <w:t>იშვიათი დაავადებების ამბულატორიული მომსახურების მოცულობის განსაზღვრის შესახებ</w:t>
      </w:r>
      <w:r>
        <w:rPr>
          <w:rFonts w:eastAsia="Times New Roman" w:cs="Times New Roman"/>
          <w:sz w:val="24"/>
          <w:szCs w:val="24"/>
          <w:lang w:val="ka-GE"/>
        </w:rPr>
        <w:t>“.</w:t>
      </w:r>
    </w:p>
    <w:p w:rsidR="00AC157C" w:rsidRPr="001D0ECE" w:rsidRDefault="00AC157C">
      <w:pPr>
        <w:rPr>
          <w:lang w:val="ka-GE"/>
        </w:rPr>
      </w:pPr>
      <w:r w:rsidRPr="001D0ECE">
        <w:rPr>
          <w:lang w:val="ka-GE"/>
        </w:rPr>
        <w:br w:type="page"/>
      </w:r>
    </w:p>
    <w:p w:rsidR="00AD2E79" w:rsidRPr="001D0ECE" w:rsidRDefault="00AC157C" w:rsidP="00F0192C">
      <w:pPr>
        <w:pStyle w:val="ListParagraph"/>
        <w:shd w:val="clear" w:color="auto" w:fill="9CC2E5" w:themeFill="accent1" w:themeFillTint="99"/>
        <w:rPr>
          <w:b/>
          <w:i/>
          <w:sz w:val="28"/>
          <w:szCs w:val="28"/>
          <w:u w:val="single"/>
          <w:lang w:val="ka-GE"/>
        </w:rPr>
      </w:pPr>
      <w:r w:rsidRPr="00F0192C">
        <w:rPr>
          <w:b/>
          <w:i/>
          <w:sz w:val="28"/>
          <w:szCs w:val="28"/>
          <w:u w:val="single"/>
          <w:lang w:val="ka-GE"/>
        </w:rPr>
        <w:lastRenderedPageBreak/>
        <w:t>კორ</w:t>
      </w:r>
      <w:r w:rsidR="002C3D2A" w:rsidRPr="00F0192C">
        <w:rPr>
          <w:b/>
          <w:i/>
          <w:sz w:val="28"/>
          <w:szCs w:val="28"/>
          <w:u w:val="single"/>
          <w:lang w:val="ka-GE"/>
        </w:rPr>
        <w:t>ო</w:t>
      </w:r>
      <w:r w:rsidRPr="00F0192C">
        <w:rPr>
          <w:b/>
          <w:i/>
          <w:sz w:val="28"/>
          <w:szCs w:val="28"/>
          <w:u w:val="single"/>
          <w:lang w:val="ka-GE"/>
        </w:rPr>
        <w:t>ნა</w:t>
      </w:r>
    </w:p>
    <w:p w:rsidR="00AC157C" w:rsidRDefault="00AC157C" w:rsidP="0080412F">
      <w:pPr>
        <w:pStyle w:val="ListParagraph"/>
        <w:rPr>
          <w:lang w:val="ka-GE"/>
        </w:rPr>
      </w:pPr>
    </w:p>
    <w:p w:rsidR="00AC157C" w:rsidRPr="00954BC0" w:rsidRDefault="00AC157C" w:rsidP="00AC157C">
      <w:pPr>
        <w:spacing w:after="120"/>
        <w:ind w:firstLine="720"/>
        <w:jc w:val="both"/>
        <w:rPr>
          <w:rFonts w:eastAsia="Times New Roman" w:cs="Times New Roman"/>
          <w:color w:val="000000"/>
          <w:lang w:val="ka-GE"/>
        </w:rPr>
      </w:pPr>
      <w:bookmarkStart w:id="1" w:name="_Hlk30691315"/>
      <w:r w:rsidRPr="003803A5">
        <w:rPr>
          <w:rFonts w:eastAsia="Times New Roman" w:cs="Times New Roman"/>
          <w:color w:val="000000"/>
          <w:lang w:val="ka-GE"/>
        </w:rPr>
        <w:t xml:space="preserve">ახალი კორონავირუსის შესაძლო შემოტანისა და გავრცელების აღკვეთის, შემთხვევათა გამოვლენის, ეპიდსიტუაციის ზოგადი მონიტორინგის, სწრაფი და ადექვატური რეაგირების, ინფორმირებისა და სიტუაციის მართვის/კოორდინაციის მიზნით </w:t>
      </w:r>
      <w:r w:rsidRPr="001D0ECE">
        <w:rPr>
          <w:rFonts w:eastAsia="Times New Roman" w:cs="Times New Roman"/>
          <w:bC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3803A5">
        <w:rPr>
          <w:rFonts w:eastAsia="Times New Roman" w:cs="Times New Roman"/>
          <w:bCs/>
          <w:color w:val="000000"/>
          <w:lang w:val="ka-GE"/>
        </w:rPr>
        <w:t xml:space="preserve">ში </w:t>
      </w:r>
      <w:r w:rsidRPr="003803A5">
        <w:rPr>
          <w:rFonts w:eastAsia="Times New Roman" w:cs="Times New Roman"/>
          <w:color w:val="000000"/>
          <w:lang w:val="ka-GE"/>
        </w:rPr>
        <w:t>იქმნ</w:t>
      </w:r>
      <w:r>
        <w:rPr>
          <w:rFonts w:eastAsia="Times New Roman" w:cs="Times New Roman"/>
          <w:color w:val="000000"/>
          <w:lang w:val="ka-GE"/>
        </w:rPr>
        <w:t>ება</w:t>
      </w:r>
      <w:r w:rsidRPr="001D0ECE">
        <w:rPr>
          <w:rFonts w:eastAsia="Times New Roman" w:cs="Times New Roman"/>
          <w:color w:val="000000"/>
          <w:lang w:val="ka-GE"/>
        </w:rPr>
        <w:t xml:space="preserve"> </w:t>
      </w:r>
      <w:r w:rsidRPr="003803A5">
        <w:rPr>
          <w:rFonts w:eastAsia="Times New Roman" w:cs="Times New Roman"/>
          <w:color w:val="000000"/>
          <w:lang w:val="ka-GE"/>
        </w:rPr>
        <w:t>საკოორდინაციო კომისია</w:t>
      </w:r>
      <w:r>
        <w:rPr>
          <w:rFonts w:eastAsia="Times New Roman" w:cs="Times New Roman"/>
          <w:color w:val="000000"/>
          <w:lang w:val="ka-GE"/>
        </w:rPr>
        <w:t xml:space="preserve"> - </w:t>
      </w:r>
      <w:r w:rsidR="00954BC0">
        <w:rPr>
          <w:rFonts w:eastAsia="Times New Roman" w:cs="Times New Roman"/>
          <w:color w:val="000000"/>
          <w:lang w:val="ka-GE"/>
        </w:rPr>
        <w:t>„</w:t>
      </w:r>
      <w:r w:rsidR="00954BC0" w:rsidRPr="001D0ECE">
        <w:rPr>
          <w:rFonts w:eastAsia="Times New Roman" w:cs="Sylfaen"/>
          <w:b/>
          <w:bCs/>
          <w:spacing w:val="30"/>
          <w:sz w:val="21"/>
          <w:szCs w:val="21"/>
          <w:lang w:val="ka-GE"/>
        </w:rPr>
        <w:t>ახალი</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კორონავირუსის</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შესაძლო</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შემოტანისა</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და</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გავრცელების</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აღკვეთის</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მიზნით</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გასატარებელი</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ღონისძიებების</w:t>
      </w:r>
      <w:r w:rsidR="00954BC0" w:rsidRPr="001D0ECE">
        <w:rPr>
          <w:rFonts w:ascii="Times New Roman" w:eastAsia="Times New Roman" w:hAnsi="Times New Roman" w:cs="Times New Roman"/>
          <w:b/>
          <w:bCs/>
          <w:spacing w:val="30"/>
          <w:sz w:val="21"/>
          <w:szCs w:val="21"/>
          <w:lang w:val="ka-GE"/>
        </w:rPr>
        <w:t xml:space="preserve"> </w:t>
      </w:r>
      <w:r w:rsidR="00954BC0" w:rsidRPr="001D0ECE">
        <w:rPr>
          <w:rFonts w:eastAsia="Times New Roman" w:cs="Sylfaen"/>
          <w:b/>
          <w:bCs/>
          <w:spacing w:val="30"/>
          <w:sz w:val="21"/>
          <w:szCs w:val="21"/>
          <w:lang w:val="ka-GE"/>
        </w:rPr>
        <w:t>შესახებ</w:t>
      </w:r>
      <w:r w:rsidR="00954BC0">
        <w:rPr>
          <w:rFonts w:eastAsia="Times New Roman" w:cs="Sylfaen"/>
          <w:b/>
          <w:bCs/>
          <w:spacing w:val="30"/>
          <w:sz w:val="21"/>
          <w:szCs w:val="21"/>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N01-18/ო 24.01.20</w:t>
      </w:r>
    </w:p>
    <w:p w:rsidR="00FB1DBA" w:rsidRDefault="00FB1DBA" w:rsidP="00FB1DBA">
      <w:pPr>
        <w:spacing w:after="0" w:line="240" w:lineRule="auto"/>
        <w:ind w:firstLine="720"/>
        <w:jc w:val="both"/>
        <w:rPr>
          <w:rFonts w:eastAsia="Sylfaen"/>
          <w:lang w:val="ka-GE"/>
        </w:rPr>
      </w:pPr>
    </w:p>
    <w:p w:rsidR="00FB1DBA" w:rsidRPr="001F473C" w:rsidRDefault="00FB1DBA" w:rsidP="008E1F95">
      <w:pPr>
        <w:spacing w:after="0" w:line="240" w:lineRule="auto"/>
        <w:jc w:val="both"/>
        <w:rPr>
          <w:rFonts w:cs="Sylfaen"/>
          <w:color w:val="212121"/>
          <w:shd w:val="clear" w:color="auto" w:fill="FFFFFF"/>
          <w:lang w:val="ka-GE"/>
        </w:rPr>
      </w:pPr>
      <w:r w:rsidRPr="001F473C">
        <w:rPr>
          <w:rFonts w:cs="Sylfaen"/>
          <w:bCs/>
          <w:lang w:val="ka-GE"/>
        </w:rPr>
        <w:t>,,საქართველოს</w:t>
      </w:r>
      <w:r w:rsidRPr="001F473C">
        <w:rPr>
          <w:bCs/>
          <w:lang w:val="ka-GE"/>
        </w:rPr>
        <w:t xml:space="preserve"> </w:t>
      </w:r>
      <w:r w:rsidRPr="001F473C">
        <w:rPr>
          <w:rFonts w:cs="Sylfaen"/>
          <w:bCs/>
          <w:lang w:val="ka-GE"/>
        </w:rPr>
        <w:t>ოკუპირებული</w:t>
      </w:r>
      <w:r w:rsidRPr="001F473C">
        <w:rPr>
          <w:bCs/>
          <w:lang w:val="ka-GE"/>
        </w:rPr>
        <w:t xml:space="preserve"> </w:t>
      </w:r>
      <w:r w:rsidRPr="001F473C">
        <w:rPr>
          <w:rFonts w:cs="Sylfaen"/>
          <w:bCs/>
          <w:lang w:val="ka-GE"/>
        </w:rPr>
        <w:t>ტერიტორიებიდან</w:t>
      </w:r>
      <w:r w:rsidRPr="001F473C">
        <w:rPr>
          <w:bCs/>
          <w:lang w:val="ka-GE"/>
        </w:rPr>
        <w:t xml:space="preserve"> </w:t>
      </w:r>
      <w:r w:rsidRPr="001F473C">
        <w:rPr>
          <w:rFonts w:cs="Sylfaen"/>
          <w:bCs/>
          <w:lang w:val="ka-GE"/>
        </w:rPr>
        <w:t>დევნილთა</w:t>
      </w:r>
      <w:r w:rsidRPr="001F473C">
        <w:rPr>
          <w:bCs/>
          <w:lang w:val="ka-GE"/>
        </w:rPr>
        <w:t xml:space="preserve">, </w:t>
      </w:r>
      <w:r w:rsidRPr="001F473C">
        <w:rPr>
          <w:rFonts w:cs="Sylfaen"/>
          <w:bCs/>
          <w:lang w:val="ka-GE"/>
        </w:rPr>
        <w:t>შრომის</w:t>
      </w:r>
      <w:r w:rsidRPr="001F473C">
        <w:rPr>
          <w:bCs/>
          <w:lang w:val="ka-GE"/>
        </w:rPr>
        <w:t xml:space="preserve">, </w:t>
      </w:r>
      <w:r w:rsidRPr="001F473C">
        <w:rPr>
          <w:rFonts w:cs="Sylfaen"/>
          <w:bCs/>
          <w:lang w:val="ka-GE"/>
        </w:rPr>
        <w:t>ჯანმრთელობისა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სოციალური</w:t>
      </w:r>
      <w:r w:rsidRPr="001F473C">
        <w:rPr>
          <w:bCs/>
          <w:lang w:val="ka-GE"/>
        </w:rPr>
        <w:t xml:space="preserve"> </w:t>
      </w:r>
      <w:r w:rsidRPr="001F473C">
        <w:rPr>
          <w:rFonts w:cs="Sylfaen"/>
          <w:bCs/>
          <w:lang w:val="ka-GE"/>
        </w:rPr>
        <w:t>დაცვის</w:t>
      </w:r>
      <w:r w:rsidRPr="001F473C">
        <w:rPr>
          <w:bCs/>
          <w:lang w:val="ka-GE"/>
        </w:rPr>
        <w:t xml:space="preserve"> </w:t>
      </w:r>
      <w:r w:rsidRPr="001F473C">
        <w:rPr>
          <w:rFonts w:cs="Sylfaen"/>
          <w:bCs/>
          <w:lang w:val="ka-GE"/>
        </w:rPr>
        <w:t>სამინისტროს</w:t>
      </w:r>
      <w:r w:rsidRPr="001F473C">
        <w:rPr>
          <w:bCs/>
          <w:lang w:val="ka-GE"/>
        </w:rPr>
        <w:t xml:space="preserve"> </w:t>
      </w:r>
      <w:r w:rsidRPr="001F473C">
        <w:rPr>
          <w:rFonts w:cs="Sylfaen"/>
          <w:bCs/>
          <w:lang w:val="ka-GE"/>
        </w:rPr>
        <w:t>სისტემაში</w:t>
      </w:r>
      <w:r w:rsidRPr="001F473C">
        <w:rPr>
          <w:bCs/>
          <w:lang w:val="ka-GE"/>
        </w:rPr>
        <w:t xml:space="preserve"> </w:t>
      </w:r>
      <w:r w:rsidRPr="001F473C">
        <w:rPr>
          <w:rFonts w:cs="Sylfaen"/>
          <w:bCs/>
          <w:lang w:val="ka-GE"/>
        </w:rPr>
        <w:t>საჯარო</w:t>
      </w:r>
      <w:r w:rsidRPr="001F473C">
        <w:rPr>
          <w:bCs/>
          <w:lang w:val="ka-GE"/>
        </w:rPr>
        <w:t xml:space="preserve"> </w:t>
      </w:r>
      <w:r w:rsidRPr="001F473C">
        <w:rPr>
          <w:rFonts w:cs="Sylfaen"/>
          <w:bCs/>
          <w:lang w:val="ka-GE"/>
        </w:rPr>
        <w:t>სერვისებისა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ადმინისტრაციული</w:t>
      </w:r>
      <w:r w:rsidRPr="001F473C">
        <w:rPr>
          <w:bCs/>
          <w:lang w:val="ka-GE"/>
        </w:rPr>
        <w:t xml:space="preserve"> </w:t>
      </w:r>
      <w:r w:rsidRPr="001F473C">
        <w:rPr>
          <w:rFonts w:cs="Sylfaen"/>
          <w:bCs/>
          <w:lang w:val="ka-GE"/>
        </w:rPr>
        <w:t>საქმისწარმოების</w:t>
      </w:r>
      <w:r w:rsidRPr="001F473C">
        <w:rPr>
          <w:bCs/>
          <w:lang w:val="ka-GE"/>
        </w:rPr>
        <w:t xml:space="preserve"> </w:t>
      </w:r>
      <w:r w:rsidRPr="001F473C">
        <w:rPr>
          <w:rFonts w:cs="Sylfaen"/>
          <w:bCs/>
          <w:lang w:val="ka-GE"/>
        </w:rPr>
        <w:t>განხორციელების</w:t>
      </w:r>
      <w:r w:rsidRPr="001F473C">
        <w:rPr>
          <w:bCs/>
          <w:lang w:val="ka-GE"/>
        </w:rPr>
        <w:t xml:space="preserve"> </w:t>
      </w:r>
      <w:r w:rsidRPr="001F473C">
        <w:rPr>
          <w:rFonts w:cs="Sylfaen"/>
          <w:bCs/>
          <w:lang w:val="ka-GE"/>
        </w:rPr>
        <w:t>განსხვავებული</w:t>
      </w:r>
      <w:r w:rsidRPr="001F473C">
        <w:rPr>
          <w:bCs/>
          <w:lang w:val="ka-GE"/>
        </w:rPr>
        <w:t xml:space="preserve"> </w:t>
      </w:r>
      <w:r w:rsidRPr="001F473C">
        <w:rPr>
          <w:rFonts w:cs="Sylfaen"/>
          <w:bCs/>
          <w:lang w:val="ka-GE"/>
        </w:rPr>
        <w:t>წესების</w:t>
      </w:r>
      <w:r w:rsidRPr="001F473C">
        <w:rPr>
          <w:bCs/>
          <w:lang w:val="ka-GE"/>
        </w:rPr>
        <w:t xml:space="preserve"> </w:t>
      </w:r>
      <w:r w:rsidRPr="001F473C">
        <w:rPr>
          <w:rFonts w:cs="Sylfaen"/>
          <w:bCs/>
          <w:lang w:val="ka-GE"/>
        </w:rPr>
        <w:t>დადგენის</w:t>
      </w:r>
      <w:r w:rsidRPr="001F473C">
        <w:rPr>
          <w:bCs/>
          <w:lang w:val="ka-GE"/>
        </w:rPr>
        <w:t xml:space="preserve"> </w:t>
      </w:r>
      <w:r w:rsidRPr="001F473C">
        <w:rPr>
          <w:rFonts w:cs="Sylfaen"/>
          <w:bCs/>
          <w:lang w:val="ka-GE"/>
        </w:rPr>
        <w:t>შესახებ</w:t>
      </w:r>
      <w:r w:rsidRPr="001F473C">
        <w:rPr>
          <w:bCs/>
          <w:lang w:val="ka-GE"/>
        </w:rPr>
        <w:t xml:space="preserve">“ </w:t>
      </w:r>
      <w:r w:rsidRPr="001F473C">
        <w:rPr>
          <w:rFonts w:cs="Sylfaen"/>
          <w:lang w:val="ka-GE"/>
        </w:rPr>
        <w:t>საქართველოს</w:t>
      </w:r>
      <w:r w:rsidRPr="001F473C">
        <w:rPr>
          <w:lang w:val="ka-GE"/>
        </w:rPr>
        <w:t xml:space="preserve"> </w:t>
      </w:r>
      <w:r w:rsidRPr="001F473C">
        <w:rPr>
          <w:rFonts w:cs="Sylfaen"/>
          <w:lang w:val="ka-GE"/>
        </w:rPr>
        <w:t>მთავრობის</w:t>
      </w:r>
      <w:r w:rsidRPr="001F473C">
        <w:rPr>
          <w:lang w:val="ka-GE"/>
        </w:rPr>
        <w:t xml:space="preserve"> 2020 </w:t>
      </w:r>
      <w:r w:rsidRPr="001F473C">
        <w:rPr>
          <w:rFonts w:cs="Sylfaen"/>
          <w:lang w:val="ka-GE"/>
        </w:rPr>
        <w:t>წლის</w:t>
      </w:r>
      <w:r w:rsidRPr="001F473C">
        <w:rPr>
          <w:lang w:val="ka-GE"/>
        </w:rPr>
        <w:t xml:space="preserve"> 23 </w:t>
      </w:r>
      <w:r w:rsidRPr="001F473C">
        <w:rPr>
          <w:rFonts w:cs="Sylfaen"/>
          <w:lang w:val="ka-GE"/>
        </w:rPr>
        <w:t>მარტის</w:t>
      </w:r>
      <w:r w:rsidRPr="001F473C">
        <w:rPr>
          <w:lang w:val="ka-GE"/>
        </w:rPr>
        <w:t xml:space="preserve"> N184 </w:t>
      </w:r>
      <w:r w:rsidRPr="001F473C">
        <w:rPr>
          <w:rFonts w:cs="Sylfaen"/>
          <w:lang w:val="ka-GE"/>
        </w:rPr>
        <w:t>დადგენილების</w:t>
      </w:r>
      <w:r w:rsidRPr="001F473C">
        <w:rPr>
          <w:lang w:val="ka-GE"/>
        </w:rPr>
        <w:t xml:space="preserve">  შესაბამისად, განისაზღვრა სამედიცინო დაწესებულებების ნუსხა</w:t>
      </w:r>
      <w:r>
        <w:rPr>
          <w:lang w:val="ka-GE"/>
        </w:rPr>
        <w:t>,</w:t>
      </w:r>
      <w:r w:rsidRPr="001F473C">
        <w:rPr>
          <w:lang w:val="ka-GE"/>
        </w:rPr>
        <w:t xml:space="preserve"> რომლებიც </w:t>
      </w:r>
      <w:r w:rsidRPr="001F473C">
        <w:rPr>
          <w:rFonts w:cs="Sylfaen"/>
          <w:lang w:val="ka-GE"/>
        </w:rPr>
        <w:t>დადგენილი</w:t>
      </w:r>
      <w:r w:rsidRPr="001F473C">
        <w:rPr>
          <w:lang w:val="ka-GE"/>
        </w:rPr>
        <w:t xml:space="preserve"> </w:t>
      </w:r>
      <w:r w:rsidRPr="001F473C">
        <w:rPr>
          <w:rFonts w:cs="Sylfaen"/>
          <w:lang w:val="ka-GE"/>
        </w:rPr>
        <w:t>წესით</w:t>
      </w:r>
      <w:r w:rsidRPr="001F473C">
        <w:rPr>
          <w:lang w:val="ka-GE"/>
        </w:rPr>
        <w:t xml:space="preserve"> </w:t>
      </w:r>
      <w:r w:rsidRPr="001F473C">
        <w:rPr>
          <w:rFonts w:cs="Sylfaen"/>
          <w:lang w:val="ka-GE"/>
        </w:rPr>
        <w:t>უზრუნველყოფენ სრულად</w:t>
      </w:r>
      <w:r w:rsidRPr="001F473C">
        <w:rPr>
          <w:lang w:val="ka-GE"/>
        </w:rPr>
        <w:t xml:space="preserve"> </w:t>
      </w:r>
      <w:r w:rsidRPr="001F473C">
        <w:rPr>
          <w:rFonts w:cs="Sylfaen"/>
          <w:lang w:val="ka-GE"/>
        </w:rPr>
        <w:t>მობილიზებას სამინისტროს</w:t>
      </w:r>
      <w:r w:rsidRPr="001F473C">
        <w:rPr>
          <w:lang w:val="ka-GE"/>
        </w:rPr>
        <w:t xml:space="preserve"> </w:t>
      </w:r>
      <w:r w:rsidRPr="001F473C">
        <w:rPr>
          <w:rFonts w:cs="Sylfaen"/>
          <w:lang w:val="ka-GE"/>
        </w:rPr>
        <w:t>მითითების</w:t>
      </w:r>
      <w:r w:rsidRPr="001F473C">
        <w:rPr>
          <w:lang w:val="ka-GE"/>
        </w:rPr>
        <w:t xml:space="preserve"> </w:t>
      </w:r>
      <w:r w:rsidRPr="001F473C">
        <w:rPr>
          <w:rFonts w:cs="Sylfaen"/>
          <w:lang w:val="ka-GE"/>
        </w:rPr>
        <w:t>შესაბამისად.</w:t>
      </w:r>
    </w:p>
    <w:p w:rsidR="00FB1DBA" w:rsidRPr="000B15AF" w:rsidRDefault="00FB1DBA" w:rsidP="008E1F95">
      <w:pPr>
        <w:spacing w:after="0" w:line="240" w:lineRule="auto"/>
        <w:contextualSpacing/>
        <w:jc w:val="both"/>
        <w:rPr>
          <w:rFonts w:cs="Sylfaen"/>
          <w:lang w:val="ka-GE"/>
        </w:rPr>
      </w:pPr>
      <w:r>
        <w:rPr>
          <w:rFonts w:cs="Sylfaen"/>
          <w:lang w:val="ka-GE"/>
        </w:rPr>
        <w:t>პირველი დანართით</w:t>
      </w:r>
      <w:r w:rsidRPr="000B15AF">
        <w:rPr>
          <w:rFonts w:cs="Sylfaen"/>
          <w:lang w:val="ka-GE"/>
        </w:rPr>
        <w:t xml:space="preserve"> </w:t>
      </w:r>
      <w:r>
        <w:rPr>
          <w:rFonts w:cs="Sylfaen"/>
          <w:lang w:val="ka-GE"/>
        </w:rPr>
        <w:t xml:space="preserve">(კოვიდ კლინიკები) </w:t>
      </w:r>
      <w:r w:rsidRPr="000B15AF">
        <w:rPr>
          <w:rFonts w:cs="Sylfaen"/>
          <w:lang w:val="ka-GE"/>
        </w:rPr>
        <w:t>განსაზღვრული დაწესებულებების მიერ</w:t>
      </w:r>
      <w:r>
        <w:rPr>
          <w:rFonts w:cs="Sylfaen"/>
          <w:lang w:val="ka-GE"/>
        </w:rPr>
        <w:t xml:space="preserve"> განხორციელდება</w:t>
      </w:r>
      <w:r w:rsidRPr="000B15AF">
        <w:rPr>
          <w:rFonts w:cs="Sylfaen"/>
          <w:lang w:val="ka-GE"/>
        </w:rPr>
        <w:t xml:space="preserve"> </w:t>
      </w:r>
      <w:r>
        <w:rPr>
          <w:rFonts w:cs="Sylfaen"/>
          <w:lang w:val="ka-GE"/>
        </w:rPr>
        <w:t xml:space="preserve">უპირატესად </w:t>
      </w:r>
      <w:r w:rsidRPr="000B15AF">
        <w:rPr>
          <w:rFonts w:cs="Sylfaen"/>
          <w:lang w:val="ka-GE"/>
        </w:rPr>
        <w:t>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w:t>
      </w:r>
      <w:r>
        <w:rPr>
          <w:rFonts w:cs="Sylfaen"/>
          <w:lang w:val="ka-GE"/>
        </w:rPr>
        <w:t>ი</w:t>
      </w:r>
      <w:r w:rsidRPr="000B15AF">
        <w:rPr>
          <w:rFonts w:cs="Sylfaen"/>
          <w:lang w:val="ka-GE"/>
        </w:rPr>
        <w:t xml:space="preserve"> ტრიაჟ</w:t>
      </w:r>
      <w:r>
        <w:rPr>
          <w:rFonts w:cs="Sylfaen"/>
          <w:lang w:val="ka-GE"/>
        </w:rPr>
        <w:t>ი</w:t>
      </w:r>
      <w:r w:rsidRPr="000B15AF">
        <w:rPr>
          <w:rFonts w:cs="Sylfaen"/>
          <w:lang w:val="ka-GE"/>
        </w:rPr>
        <w:t xml:space="preserve">, დიაგნოსტირება, COVID-19 დადასტურებული შემთხვევების, მათ შორის </w:t>
      </w:r>
      <w:r>
        <w:rPr>
          <w:rFonts w:cs="Sylfaen"/>
          <w:lang w:val="ka-GE"/>
        </w:rPr>
        <w:t>ცხელების კლინიკებიდან</w:t>
      </w:r>
      <w:r w:rsidRPr="000B15AF">
        <w:rPr>
          <w:rFonts w:cs="Sylfaen"/>
          <w:lang w:val="ka-GE"/>
        </w:rPr>
        <w:t xml:space="preserve"> რეფერირებული პაციენტების მართვა</w:t>
      </w:r>
      <w:r>
        <w:rPr>
          <w:rFonts w:cs="Sylfaen"/>
          <w:lang w:val="ka-GE"/>
        </w:rPr>
        <w:t>.</w:t>
      </w:r>
      <w:r w:rsidRPr="000B15AF">
        <w:rPr>
          <w:rFonts w:cs="Sylfaen"/>
          <w:lang w:val="ka-GE"/>
        </w:rPr>
        <w:t xml:space="preserve"> </w:t>
      </w:r>
    </w:p>
    <w:p w:rsidR="00FB1DBA" w:rsidRDefault="00FB1DBA" w:rsidP="008E1F95">
      <w:pPr>
        <w:spacing w:after="0" w:line="240" w:lineRule="auto"/>
        <w:contextualSpacing/>
        <w:jc w:val="both"/>
        <w:rPr>
          <w:rFonts w:cs="Sylfaen"/>
          <w:lang w:val="ka-GE"/>
        </w:rPr>
      </w:pPr>
      <w:r>
        <w:rPr>
          <w:rFonts w:cs="Sylfaen"/>
          <w:lang w:val="ka-GE"/>
        </w:rPr>
        <w:t xml:space="preserve">მეორე დანართით (ცხელების კლინიკები) </w:t>
      </w:r>
      <w:r w:rsidRPr="000B15AF">
        <w:rPr>
          <w:rFonts w:cs="Sylfaen"/>
          <w:lang w:val="ka-GE"/>
        </w:rPr>
        <w:t xml:space="preserve"> განსაზღვრული დაწესებულებების მიერ</w:t>
      </w:r>
      <w:r>
        <w:rPr>
          <w:rFonts w:cs="Sylfaen"/>
          <w:lang w:val="ka-GE"/>
        </w:rPr>
        <w:t xml:space="preserve"> განხორციელდება</w:t>
      </w:r>
      <w:r w:rsidRPr="000B15AF">
        <w:rPr>
          <w:rFonts w:cs="Sylfaen"/>
          <w:lang w:val="ka-GE"/>
        </w:rPr>
        <w:t xml:space="preserve"> ცხელების მქონე ნებისმიერი პაციენტის პირველად</w:t>
      </w:r>
      <w:r>
        <w:rPr>
          <w:rFonts w:cs="Sylfaen"/>
          <w:lang w:val="ka-GE"/>
        </w:rPr>
        <w:t>ი</w:t>
      </w:r>
      <w:r w:rsidRPr="000B15AF">
        <w:rPr>
          <w:rFonts w:cs="Sylfaen"/>
          <w:lang w:val="ka-GE"/>
        </w:rPr>
        <w:t xml:space="preserve"> ტრიაჟ</w:t>
      </w:r>
      <w:r>
        <w:rPr>
          <w:rFonts w:cs="Sylfaen"/>
          <w:lang w:val="ka-GE"/>
        </w:rPr>
        <w:t>ი</w:t>
      </w:r>
      <w:r w:rsidRPr="000B15AF">
        <w:rPr>
          <w:rFonts w:cs="Sylfaen"/>
          <w:lang w:val="ka-GE"/>
        </w:rPr>
        <w:t>, დიაგნოსტირება, COVID-19 დიაგნოზის დადასტურების შემდეგ პაციენტის რეფერალ</w:t>
      </w:r>
      <w:r>
        <w:rPr>
          <w:rFonts w:cs="Sylfaen"/>
          <w:lang w:val="ka-GE"/>
        </w:rPr>
        <w:t xml:space="preserve">ი </w:t>
      </w:r>
      <w:r w:rsidRPr="00F73C53">
        <w:rPr>
          <w:rFonts w:cs="Sylfaen"/>
          <w:color w:val="212121"/>
          <w:shd w:val="clear" w:color="auto" w:fill="FFFFFF"/>
          <w:lang w:val="ka-GE"/>
        </w:rPr>
        <w:t xml:space="preserve">COVID-19 დადასტურებული შემთხვევების სამართავად </w:t>
      </w:r>
      <w:r w:rsidRPr="000B15AF">
        <w:rPr>
          <w:rFonts w:cs="Sylfaen"/>
          <w:lang w:val="ka-GE"/>
        </w:rPr>
        <w:t xml:space="preserve">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COVID-19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w:t>
      </w:r>
      <w:r>
        <w:rPr>
          <w:rFonts w:cs="Sylfaen"/>
          <w:lang w:val="ka-GE"/>
        </w:rPr>
        <w:t xml:space="preserve">სხვა </w:t>
      </w:r>
      <w:r w:rsidRPr="000B15AF">
        <w:rPr>
          <w:rFonts w:cs="Sylfaen"/>
          <w:lang w:val="ka-GE"/>
        </w:rPr>
        <w:t xml:space="preserve">სამედიცინო დაწესებულებაში. </w:t>
      </w:r>
    </w:p>
    <w:p w:rsidR="008E1F95" w:rsidRDefault="008E1F95" w:rsidP="00FB1DBA">
      <w:pPr>
        <w:spacing w:after="0" w:line="240" w:lineRule="auto"/>
        <w:ind w:firstLine="720"/>
        <w:contextualSpacing/>
        <w:jc w:val="both"/>
        <w:rPr>
          <w:rFonts w:cs="Sylfaen"/>
          <w:lang w:val="ka-GE"/>
        </w:rPr>
      </w:pPr>
    </w:p>
    <w:p w:rsidR="008E1F95" w:rsidRDefault="008E1F95" w:rsidP="008E1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cs="Sylfaen"/>
          <w:lang w:val="ka-GE"/>
        </w:rPr>
      </w:pPr>
      <w:r w:rsidRPr="003E3147">
        <w:rPr>
          <w:rFonts w:cs="Sylfaen"/>
          <w:lang w:val="ka-GE" w:eastAsia="x-none"/>
        </w:rPr>
        <w:t xml:space="preserve">საქართველოს მთავრობის 2020 წლის 2 მარტის №145 დადგენილებით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მიხედვით </w:t>
      </w:r>
      <w:r w:rsidRPr="008A43C9">
        <w:rPr>
          <w:rFonts w:cs="Sylfaen"/>
          <w:lang w:val="ka-GE"/>
        </w:rPr>
        <w:t xml:space="preserve">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მინისტრის ბრძანებით განსაზღვრული სტაციონარული ნებართვის მქონე დაწესებულება, შესაძლებელია, დროებითი ღონისძიების სახით, ნაწილობრივ ან სრულად გათავისუფლდეს ამ დადგენილებით შესაბამისი საქმიანობისათვის </w:t>
      </w:r>
      <w:r w:rsidRPr="008A43C9">
        <w:rPr>
          <w:rFonts w:cs="Sylfaen"/>
          <w:lang w:val="ka-GE"/>
        </w:rPr>
        <w:lastRenderedPageBreak/>
        <w:t>განსაზღვრული მოთხოვნებისაგან, მინისტრის ბრძანებით დადგენილი წესით, პირობებითა და ვადის განმავლობაში.</w:t>
      </w:r>
      <w:r w:rsidRPr="003E3147">
        <w:rPr>
          <w:rFonts w:cs="Sylfaen"/>
          <w:lang w:val="ka-GE"/>
        </w:rPr>
        <w:t xml:space="preserve"> </w:t>
      </w:r>
    </w:p>
    <w:p w:rsidR="008E1F95" w:rsidRPr="000B15AF" w:rsidRDefault="008E1F95" w:rsidP="008E1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cs="Sylfaen"/>
          <w:lang w:val="ka-GE"/>
        </w:rPr>
      </w:pPr>
      <w:r>
        <w:rPr>
          <w:rFonts w:cs="Sylfaen"/>
          <w:lang w:val="ka-GE"/>
        </w:rPr>
        <w:t xml:space="preserve">შესაბამისად, მინისიტრის ბრძანებით დამტკიცდა იმ </w:t>
      </w:r>
      <w:r w:rsidRPr="00722963">
        <w:rPr>
          <w:rFonts w:cs="Sylfaen"/>
          <w:lang w:val="ka-GE"/>
        </w:rPr>
        <w:t>სამედიცინო დაწესებულებების ნუსხა,</w:t>
      </w:r>
      <w:r>
        <w:rPr>
          <w:rFonts w:cs="Sylfaen"/>
          <w:lang w:val="ka-GE"/>
        </w:rPr>
        <w:t xml:space="preserve"> რომლებიც გათავისუფლდნენ </w:t>
      </w:r>
      <w:r w:rsidRPr="003E3147">
        <w:rPr>
          <w:rFonts w:cs="Sylfaen"/>
          <w:lang w:val="ka-GE"/>
        </w:rPr>
        <w:t>ინფექციურ</w:t>
      </w:r>
      <w:r w:rsidRPr="003E3147">
        <w:rPr>
          <w:lang w:val="ka-GE"/>
        </w:rPr>
        <w:t xml:space="preserve"> </w:t>
      </w:r>
      <w:r w:rsidRPr="003E3147">
        <w:rPr>
          <w:rFonts w:cs="Sylfaen"/>
          <w:lang w:val="ka-GE"/>
        </w:rPr>
        <w:t>დაავადებათა</w:t>
      </w:r>
      <w:r w:rsidRPr="003E3147">
        <w:rPr>
          <w:lang w:val="ka-GE"/>
        </w:rPr>
        <w:t xml:space="preserve"> </w:t>
      </w:r>
      <w:r w:rsidRPr="003E3147">
        <w:rPr>
          <w:rFonts w:cs="Sylfaen"/>
          <w:lang w:val="ka-GE"/>
        </w:rPr>
        <w:t>მკურნალობის</w:t>
      </w:r>
      <w:r w:rsidRPr="003E3147">
        <w:rPr>
          <w:lang w:val="ka-GE"/>
        </w:rPr>
        <w:t xml:space="preserve"> </w:t>
      </w:r>
      <w:r w:rsidRPr="003E3147">
        <w:rPr>
          <w:rFonts w:cs="Sylfaen"/>
          <w:lang w:val="ka-GE"/>
        </w:rPr>
        <w:t>სანებართვო</w:t>
      </w:r>
      <w:r w:rsidRPr="003E3147">
        <w:rPr>
          <w:lang w:val="ka-GE"/>
        </w:rPr>
        <w:t xml:space="preserve"> </w:t>
      </w:r>
      <w:r w:rsidRPr="003E3147">
        <w:rPr>
          <w:rFonts w:cs="Sylfaen"/>
          <w:lang w:val="ka-GE"/>
        </w:rPr>
        <w:t>დანართის</w:t>
      </w:r>
      <w:r w:rsidRPr="003E3147">
        <w:rPr>
          <w:lang w:val="ka-GE"/>
        </w:rPr>
        <w:t xml:space="preserve"> </w:t>
      </w:r>
      <w:r w:rsidRPr="003E3147">
        <w:rPr>
          <w:rFonts w:cs="Sylfaen"/>
          <w:lang w:val="ka-GE"/>
        </w:rPr>
        <w:t>ფლობის</w:t>
      </w:r>
      <w:r w:rsidRPr="003E3147">
        <w:rPr>
          <w:lang w:val="ka-GE"/>
        </w:rPr>
        <w:t xml:space="preserve"> </w:t>
      </w:r>
      <w:r w:rsidRPr="003E3147">
        <w:rPr>
          <w:rFonts w:cs="Sylfaen"/>
          <w:lang w:val="ka-GE"/>
        </w:rPr>
        <w:t>ვალდებულებისგან</w:t>
      </w:r>
      <w:r>
        <w:rPr>
          <w:rFonts w:cs="Sylfaen"/>
          <w:lang w:val="ka-GE"/>
        </w:rPr>
        <w:t>.</w:t>
      </w:r>
    </w:p>
    <w:p w:rsidR="00FB1DBA" w:rsidRDefault="00FB1DBA" w:rsidP="008E1F95">
      <w:pPr>
        <w:spacing w:after="0" w:line="240" w:lineRule="auto"/>
        <w:jc w:val="both"/>
        <w:rPr>
          <w:rFonts w:eastAsia="Times New Roman" w:cs="Sylfaen"/>
          <w:color w:val="000000"/>
          <w:lang w:val="ka-GE"/>
        </w:rPr>
      </w:pPr>
      <w:r>
        <w:rPr>
          <w:rFonts w:eastAsia="Times New Roman" w:cs="Sylfaen"/>
          <w:color w:val="000000"/>
          <w:lang w:val="ka-GE"/>
        </w:rPr>
        <w:t>კლინიკების მობილიზაციასთან ერთად, მნიშვნელოვანი იყო, აღნიშნული დაწესებულებების ფინანსური უზრუნველყოფის საკითხი. კერძოდ, კლინიკების სრულად მობილიზების (სრულად დაცლის) შემთხვევაში მათთვის გარკვეული საკომპენსაციო თანხის გადახდის მექანიზმის შემუშავება.</w:t>
      </w:r>
    </w:p>
    <w:p w:rsidR="001D0ECE" w:rsidRDefault="001D0ECE" w:rsidP="008E1F95">
      <w:pPr>
        <w:spacing w:after="0" w:line="240" w:lineRule="auto"/>
        <w:jc w:val="both"/>
        <w:rPr>
          <w:rFonts w:eastAsia="Times New Roman" w:cs="Sylfaen"/>
          <w:color w:val="000000"/>
          <w:lang w:val="ka-GE"/>
        </w:rPr>
      </w:pPr>
    </w:p>
    <w:p w:rsidR="00FB1DBA" w:rsidRDefault="00FB1DBA" w:rsidP="008E1F95">
      <w:pPr>
        <w:spacing w:after="0" w:line="240" w:lineRule="auto"/>
        <w:jc w:val="both"/>
        <w:rPr>
          <w:rFonts w:eastAsia="Times New Roman" w:cs="Sylfaen"/>
          <w:color w:val="000000"/>
          <w:lang w:val="ka-GE"/>
        </w:rPr>
      </w:pPr>
      <w:r>
        <w:rPr>
          <w:rFonts w:eastAsia="Times New Roman" w:cs="Sylfaen"/>
          <w:color w:val="000000"/>
          <w:lang w:val="ka-GE"/>
        </w:rPr>
        <w:t>სამინისტროს ეკონომიკური ჯგუფის მიერ გაითვალა საწოლდღის სავარაუდო ღირებულებები სხვადასხვა მოცულობის კლინიკების მხრიდან წარმოდგენილი ხარჯთაღრიცხვების საფუძველზე. ბოლო სამი თვის მონაცემების გათვალისწინებით, განისაზღვრა დაუტვირთავი საწოლდღის ღირებულება, მათ შორის იმ კლინიკებისთვის რომელთა საწოლების რაოდენობა ნაკლებია ან ტოლია 80-ს,  საშუალოდ 100 ლარის ოდენობით, ხოლო, 80-ზე მეტი საწოლის მქონე კლინიკებისთვის 120 ლარის ოდენობით. აღნიშნული ღირებულება მოიცავს სამედიცინო პერსონალის ხელფასებს, კომუნალურ და ასევე, საკანცელარიო/სამეურნეო/საოპერაციო ხარჯებს.</w:t>
      </w:r>
    </w:p>
    <w:p w:rsidR="001D0ECE" w:rsidRDefault="001D0ECE" w:rsidP="008E1F95">
      <w:pPr>
        <w:spacing w:after="0" w:line="240" w:lineRule="auto"/>
        <w:jc w:val="both"/>
        <w:rPr>
          <w:rFonts w:eastAsia="Times New Roman" w:cs="Sylfaen"/>
          <w:color w:val="000000"/>
          <w:lang w:val="ka-GE"/>
        </w:rPr>
      </w:pPr>
    </w:p>
    <w:p w:rsidR="00F0192C" w:rsidRDefault="00FB1DBA" w:rsidP="008E1F95">
      <w:pPr>
        <w:spacing w:after="0" w:line="240" w:lineRule="auto"/>
        <w:contextualSpacing/>
        <w:jc w:val="both"/>
        <w:rPr>
          <w:rFonts w:eastAsia="Times New Roman" w:cs="Sylfaen"/>
          <w:color w:val="000000"/>
          <w:lang w:val="ka-GE"/>
        </w:rPr>
      </w:pPr>
      <w:r w:rsidRPr="000C4A0E">
        <w:rPr>
          <w:rFonts w:eastAsia="Times New Roman" w:cs="Sylfaen"/>
          <w:color w:val="000000"/>
          <w:lang w:val="ka-GE"/>
        </w:rPr>
        <w:t>აღნიშნული თანხა კლინიკებზე გაიცემა სსიპ სოციალური მომსახურების სააგენტოსთან გაფორმებული ხელშეკრულების ფარგლებში. რაც შეეხება, კლინიკებში შემთხ</w:t>
      </w:r>
      <w:r>
        <w:rPr>
          <w:rFonts w:eastAsia="Times New Roman" w:cs="Sylfaen"/>
          <w:color w:val="000000"/>
          <w:lang w:val="ka-GE"/>
        </w:rPr>
        <w:t xml:space="preserve">ვევების მართვას, ანაზღაურება </w:t>
      </w:r>
      <w:r w:rsidRPr="000C4A0E">
        <w:rPr>
          <w:rFonts w:eastAsia="Times New Roman" w:cs="Sylfaen"/>
          <w:color w:val="000000"/>
          <w:lang w:val="ka-GE"/>
        </w:rPr>
        <w:t xml:space="preserve">ხორციელდება საქართველოს მთვრობის 2019 წლის 31 დეკემბრის N674 დადგენილებით დამტკიცებული დანართი N20 („ახალი კორონავირუსული დაავადების COVID 19-ის მართვა“) განსაზღვრული პირობების შესაბამისად. </w:t>
      </w:r>
    </w:p>
    <w:p w:rsidR="00F0192C" w:rsidRDefault="00F0192C" w:rsidP="008E1F95">
      <w:pPr>
        <w:spacing w:after="0" w:line="240" w:lineRule="auto"/>
        <w:contextualSpacing/>
        <w:jc w:val="both"/>
        <w:rPr>
          <w:rFonts w:eastAsia="Times New Roman" w:cs="Sylfaen"/>
          <w:color w:val="000000"/>
          <w:lang w:val="ka-GE"/>
        </w:rPr>
      </w:pPr>
    </w:p>
    <w:p w:rsidR="00FB1DBA" w:rsidRDefault="00FB1DBA" w:rsidP="008E1F95">
      <w:pPr>
        <w:spacing w:after="0" w:line="240" w:lineRule="auto"/>
        <w:contextualSpacing/>
        <w:jc w:val="both"/>
        <w:rPr>
          <w:rFonts w:eastAsia="Times New Roman" w:cs="Sylfaen"/>
          <w:color w:val="000000"/>
          <w:lang w:val="ka-GE"/>
        </w:rPr>
      </w:pPr>
      <w:r w:rsidRPr="00913D71">
        <w:rPr>
          <w:rFonts w:eastAsia="Times New Roman" w:cs="Sylfaen"/>
          <w:color w:val="000000"/>
          <w:lang w:val="ka-GE"/>
        </w:rPr>
        <w:t xml:space="preserve">COVID-19 </w:t>
      </w:r>
      <w:r>
        <w:rPr>
          <w:rFonts w:eastAsia="Times New Roman" w:cs="Sylfaen"/>
          <w:color w:val="000000"/>
          <w:lang w:val="ka-GE"/>
        </w:rPr>
        <w:t>მართვის პროცესში, ასევე განსაკუთრებით გამოიკვეთა ლაბორატორიული -</w:t>
      </w:r>
      <w:r w:rsidRPr="00B20EEC">
        <w:rPr>
          <w:rFonts w:eastAsia="Times New Roman" w:cs="Sylfaen"/>
          <w:color w:val="000000"/>
          <w:lang w:val="ka-GE"/>
        </w:rPr>
        <w:t>PCR</w:t>
      </w:r>
      <w:r>
        <w:rPr>
          <w:rFonts w:eastAsia="Times New Roman" w:cs="Sylfaen"/>
          <w:color w:val="000000"/>
          <w:lang w:val="ka-GE"/>
        </w:rPr>
        <w:t xml:space="preserve"> დიაგნოსტიკის დეცენტრალიზაციის საჭიროება. შემთხვევების, მათ შორის ცხელების მქონე შემთხვევების მატებასთან ერთად, მობილიზებული საწოლფონდის ეფექტურად გ</w:t>
      </w:r>
      <w:r w:rsidR="00F0192C">
        <w:rPr>
          <w:rFonts w:eastAsia="Times New Roman" w:cs="Sylfaen"/>
          <w:color w:val="000000"/>
          <w:lang w:val="ka-GE"/>
        </w:rPr>
        <w:t>ამოყენებისთვის, უმნიშნელოვანესი იყო</w:t>
      </w:r>
      <w:r>
        <w:rPr>
          <w:rFonts w:eastAsia="Times New Roman" w:cs="Sylfaen"/>
          <w:color w:val="000000"/>
          <w:lang w:val="ka-GE"/>
        </w:rPr>
        <w:t xml:space="preserve"> ბენეფიციართა დროული ტესტირების უზრუნველყოფა და იდენტიფიცირება.</w:t>
      </w:r>
    </w:p>
    <w:p w:rsidR="00F0192C" w:rsidRDefault="00F0192C" w:rsidP="008E1F95">
      <w:pPr>
        <w:spacing w:after="0" w:line="240" w:lineRule="auto"/>
        <w:contextualSpacing/>
        <w:jc w:val="both"/>
        <w:rPr>
          <w:rFonts w:eastAsia="Times New Roman" w:cs="Sylfaen"/>
          <w:color w:val="000000"/>
          <w:lang w:val="ka-GE"/>
        </w:rPr>
      </w:pPr>
    </w:p>
    <w:p w:rsidR="00FB1DBA" w:rsidRDefault="00FB1DBA" w:rsidP="008E1F95">
      <w:pPr>
        <w:spacing w:after="0" w:line="240" w:lineRule="auto"/>
        <w:contextualSpacing/>
        <w:jc w:val="both"/>
        <w:rPr>
          <w:rFonts w:eastAsia="Times New Roman" w:cs="Sylfaen"/>
          <w:color w:val="000000"/>
          <w:lang w:val="ka-GE"/>
        </w:rPr>
      </w:pPr>
      <w:r>
        <w:rPr>
          <w:rFonts w:eastAsia="Times New Roman" w:cs="Sylfaen"/>
          <w:color w:val="000000"/>
          <w:lang w:val="ka-GE"/>
        </w:rPr>
        <w:t xml:space="preserve">ზემოაღნიშნულის გათვალისწინებით, შემუშავდა ლაბორატორიული ტესტირების უზრუნველყოფის მექანიზმი შემდეგი სახით: 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ზემოაღნიშნული აქტივობები, განფასებულია, შესაბამისად 10 ლარით (საკვლევი მასალის აღება+ტრანსპორტირება), ხოლო პჯრ კვლევა განფასებულია 150 ლარად (ტესტსისტემების ღირებულების გათვალისწინებით) და 50 ლარად (ტესტსისტემების ღირებულების გარეშე).  </w:t>
      </w:r>
    </w:p>
    <w:p w:rsidR="00FB1DBA" w:rsidRDefault="00FB1DBA" w:rsidP="00FB1DBA">
      <w:pPr>
        <w:spacing w:after="0" w:line="240" w:lineRule="auto"/>
        <w:ind w:firstLine="720"/>
        <w:contextualSpacing/>
        <w:jc w:val="both"/>
        <w:rPr>
          <w:rFonts w:eastAsia="Times New Roman" w:cs="Sylfaen"/>
          <w:color w:val="000000"/>
          <w:lang w:val="ka-GE"/>
        </w:rPr>
      </w:pPr>
      <w:r>
        <w:rPr>
          <w:rFonts w:eastAsia="Times New Roman" w:cs="Sylfaen"/>
          <w:color w:val="000000"/>
          <w:lang w:val="ka-GE"/>
        </w:rPr>
        <w:lastRenderedPageBreak/>
        <w:t>ზემოაღნიშნულ დაწესებულებებს,</w:t>
      </w:r>
      <w:r w:rsidR="001D0ECE">
        <w:rPr>
          <w:rFonts w:eastAsia="Times New Roman" w:cs="Sylfaen"/>
          <w:color w:val="000000"/>
          <w:lang w:val="ka-GE"/>
        </w:rPr>
        <w:t xml:space="preserve"> ასევე, აქვთ სწრაფი ტესტირების ჩ</w:t>
      </w:r>
      <w:r>
        <w:rPr>
          <w:rFonts w:eastAsia="Times New Roman" w:cs="Sylfaen"/>
          <w:color w:val="000000"/>
          <w:lang w:val="ka-GE"/>
        </w:rPr>
        <w:t>ატარების შესაძლებლობა, რისთვისაც სჭირო აქტივობები განფასდა შესაბამისად, ტესტსისტემების ღირებულების გათვალისწინებით არაუმეტეს 20 ლარად, ხოლო ტესტსისტემების ღირებულების გარეშე, არაუმეტეს 5 ლარისა.</w:t>
      </w:r>
    </w:p>
    <w:p w:rsidR="00FB1DBA" w:rsidRDefault="00FB1DBA" w:rsidP="00FB1DBA">
      <w:pPr>
        <w:spacing w:after="0" w:line="240" w:lineRule="auto"/>
        <w:ind w:firstLine="720"/>
        <w:contextualSpacing/>
        <w:jc w:val="both"/>
        <w:rPr>
          <w:rFonts w:eastAsia="Times New Roman" w:cs="Sylfaen"/>
          <w:color w:val="000000"/>
          <w:lang w:val="ka-GE"/>
        </w:rPr>
      </w:pPr>
    </w:p>
    <w:p w:rsidR="00FB1DBA" w:rsidRDefault="00FB1DBA" w:rsidP="00FB1DBA">
      <w:pPr>
        <w:spacing w:after="0" w:line="240" w:lineRule="auto"/>
        <w:ind w:firstLine="720"/>
        <w:contextualSpacing/>
        <w:jc w:val="both"/>
        <w:rPr>
          <w:rFonts w:eastAsia="Times New Roman" w:cs="Sylfaen"/>
          <w:color w:val="000000"/>
          <w:lang w:val="ka-GE"/>
        </w:rPr>
      </w:pPr>
    </w:p>
    <w:p w:rsidR="00FB1DBA" w:rsidRDefault="00FB1DBA" w:rsidP="00FB1DBA">
      <w:pPr>
        <w:spacing w:after="0" w:line="240" w:lineRule="auto"/>
        <w:ind w:firstLine="720"/>
        <w:contextualSpacing/>
        <w:jc w:val="both"/>
        <w:rPr>
          <w:rFonts w:eastAsia="Times New Roman" w:cs="Sylfaen"/>
          <w:color w:val="000000"/>
          <w:lang w:val="ka-GE"/>
        </w:rPr>
      </w:pPr>
    </w:p>
    <w:p w:rsidR="00FB1DBA" w:rsidRDefault="00FB1DBA" w:rsidP="00FB1DBA">
      <w:pPr>
        <w:spacing w:after="0" w:line="240" w:lineRule="auto"/>
        <w:ind w:firstLine="720"/>
        <w:contextualSpacing/>
        <w:jc w:val="both"/>
        <w:rPr>
          <w:rFonts w:eastAsia="Times New Roman" w:cs="Sylfaen"/>
          <w:color w:val="000000"/>
          <w:lang w:val="ka-GE"/>
        </w:rPr>
      </w:pPr>
    </w:p>
    <w:p w:rsidR="002C3D2A" w:rsidRDefault="002C3D2A" w:rsidP="00AC157C">
      <w:pPr>
        <w:spacing w:after="120"/>
        <w:ind w:firstLine="720"/>
        <w:jc w:val="both"/>
        <w:rPr>
          <w:rFonts w:eastAsia="Times New Roman" w:cs="Times New Roman"/>
          <w:color w:val="000000"/>
          <w:lang w:val="ka-GE"/>
        </w:rPr>
      </w:pPr>
    </w:p>
    <w:p w:rsidR="002C3D2A" w:rsidRPr="002C3D2A" w:rsidRDefault="002C3D2A" w:rsidP="002C3D2A">
      <w:pPr>
        <w:shd w:val="clear" w:color="auto" w:fill="2E74B5" w:themeFill="accent1" w:themeFillShade="BF"/>
        <w:spacing w:after="120"/>
        <w:ind w:firstLine="720"/>
        <w:jc w:val="both"/>
        <w:rPr>
          <w:rFonts w:eastAsia="Times New Roman" w:cs="Times New Roman"/>
          <w:b/>
          <w:color w:val="000000"/>
          <w:lang w:val="ka-GE"/>
        </w:rPr>
      </w:pPr>
      <w:r w:rsidRPr="002C3D2A">
        <w:rPr>
          <w:rFonts w:eastAsia="Times New Roman" w:cs="Times New Roman"/>
          <w:b/>
          <w:color w:val="000000"/>
          <w:lang w:val="ka-GE"/>
        </w:rPr>
        <w:t>ონლაინ-კლინიკები და ტრენინგები</w:t>
      </w:r>
    </w:p>
    <w:p w:rsidR="002C3D2A" w:rsidRDefault="002C3D2A" w:rsidP="002C3D2A">
      <w:pPr>
        <w:jc w:val="both"/>
        <w:rPr>
          <w:lang w:val="ka-GE"/>
        </w:rPr>
      </w:pPr>
      <w:r>
        <w:rPr>
          <w:lang w:val="ka-GE"/>
        </w:rPr>
        <w:t xml:space="preserve">ქვეყანაში ახალი კორონავირუსული დაავადების </w:t>
      </w:r>
      <w:r w:rsidRPr="00481690">
        <w:rPr>
          <w:lang w:val="ka-GE"/>
        </w:rPr>
        <w:t xml:space="preserve">COVID-19 </w:t>
      </w:r>
      <w:r>
        <w:rPr>
          <w:lang w:val="ka-GE"/>
        </w:rPr>
        <w:t xml:space="preserve">შემთხვევების დაფიქსირებასთან ერთად მომატებულია სხვადასხვა ვირუსული ინფექციების მქონე პაციენტების მიმართვიანობა კლინიკებში, ასევე მომატებულია სასწრაფო დახმარების მანქანების გამოძახებისა და 112-ში დაფიქსირებული ზარების რაოდენობა. აღნიშნული სიტუაციის განმუხტვისა და </w:t>
      </w:r>
      <w:r w:rsidRPr="00481690">
        <w:rPr>
          <w:lang w:val="ka-GE"/>
        </w:rPr>
        <w:t>სეზონური გრიპის</w:t>
      </w:r>
      <w:r w:rsidRPr="00A449B7">
        <w:rPr>
          <w:lang w:val="ka-GE"/>
        </w:rPr>
        <w:t xml:space="preserve">ა და </w:t>
      </w:r>
      <w:r w:rsidRPr="00481690">
        <w:rPr>
          <w:lang w:val="ka-GE"/>
        </w:rPr>
        <w:t>COVID-19 –</w:t>
      </w:r>
      <w:r>
        <w:rPr>
          <w:lang w:val="ka-GE"/>
        </w:rPr>
        <w:t xml:space="preserve"> </w:t>
      </w:r>
      <w:r w:rsidRPr="00481690">
        <w:rPr>
          <w:lang w:val="ka-GE"/>
        </w:rPr>
        <w:t>ის შემთხვევათა იდენტიფიცირებისა და სწორი მართვის/რეფერალის უზრუნველყოფის მიზნით</w:t>
      </w:r>
      <w:r>
        <w:rPr>
          <w:lang w:val="ka-GE"/>
        </w:rPr>
        <w:t>, „</w:t>
      </w:r>
      <w:r w:rsidRPr="003B5ACE">
        <w:rPr>
          <w:rFonts w:eastAsia="Times New Roman" w:cs="Sylfaen"/>
          <w:b/>
          <w:bCs/>
          <w:spacing w:val="30"/>
          <w:sz w:val="21"/>
          <w:szCs w:val="21"/>
          <w:lang w:val="ka-GE"/>
        </w:rPr>
        <w:t>სეზონური</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გრიპისა</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და</w:t>
      </w:r>
      <w:r w:rsidRPr="003B5ACE">
        <w:rPr>
          <w:rFonts w:ascii="Times New Roman" w:eastAsia="Times New Roman" w:hAnsi="Times New Roman" w:cs="Times New Roman"/>
          <w:b/>
          <w:bCs/>
          <w:spacing w:val="30"/>
          <w:sz w:val="21"/>
          <w:szCs w:val="21"/>
          <w:lang w:val="ka-GE"/>
        </w:rPr>
        <w:t xml:space="preserve"> COVID-19 –</w:t>
      </w:r>
      <w:r w:rsidRPr="003B5ACE">
        <w:rPr>
          <w:rFonts w:eastAsia="Times New Roman" w:cs="Sylfaen"/>
          <w:b/>
          <w:bCs/>
          <w:spacing w:val="30"/>
          <w:sz w:val="21"/>
          <w:szCs w:val="21"/>
          <w:lang w:val="ka-GE"/>
        </w:rPr>
        <w:t>ის</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შემთხვევათა</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იდენტიფიცირებისა</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და</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სწორი</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მართვის</w:t>
      </w:r>
      <w:r w:rsidRPr="003B5ACE">
        <w:rPr>
          <w:rFonts w:ascii="Times New Roman" w:eastAsia="Times New Roman" w:hAnsi="Times New Roman" w:cs="Times New Roman"/>
          <w:b/>
          <w:bCs/>
          <w:spacing w:val="30"/>
          <w:sz w:val="21"/>
          <w:szCs w:val="21"/>
          <w:lang w:val="ka-GE"/>
        </w:rPr>
        <w:t>/</w:t>
      </w:r>
      <w:r w:rsidRPr="003B5ACE">
        <w:rPr>
          <w:rFonts w:eastAsia="Times New Roman" w:cs="Sylfaen"/>
          <w:b/>
          <w:bCs/>
          <w:spacing w:val="30"/>
          <w:sz w:val="21"/>
          <w:szCs w:val="21"/>
          <w:lang w:val="ka-GE"/>
        </w:rPr>
        <w:t>რეფერალის</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უზრუნველყოფის</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მიზნით</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გასატარებელ</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ღონისძიებათა</w:t>
      </w:r>
      <w:r w:rsidRPr="003B5ACE">
        <w:rPr>
          <w:rFonts w:ascii="Times New Roman" w:eastAsia="Times New Roman" w:hAnsi="Times New Roman" w:cs="Times New Roman"/>
          <w:b/>
          <w:bCs/>
          <w:spacing w:val="30"/>
          <w:sz w:val="21"/>
          <w:szCs w:val="21"/>
          <w:lang w:val="ka-GE"/>
        </w:rPr>
        <w:t xml:space="preserve"> </w:t>
      </w:r>
      <w:r w:rsidRPr="003B5ACE">
        <w:rPr>
          <w:rFonts w:eastAsia="Times New Roman" w:cs="Sylfaen"/>
          <w:b/>
          <w:bCs/>
          <w:spacing w:val="30"/>
          <w:sz w:val="21"/>
          <w:szCs w:val="21"/>
          <w:lang w:val="ka-GE"/>
        </w:rPr>
        <w:t>შესახებ</w:t>
      </w:r>
      <w:r>
        <w:rPr>
          <w:rFonts w:eastAsia="Times New Roman" w:cs="Sylfaen"/>
          <w:b/>
          <w:bCs/>
          <w:spacing w:val="30"/>
          <w:sz w:val="21"/>
          <w:szCs w:val="21"/>
          <w:lang w:val="ka-GE"/>
        </w:rPr>
        <w:t xml:space="preserve">“ მინისტრის 2020 წლის 2 მარტის N01-71/ო ბრძანებით, </w:t>
      </w:r>
      <w:r>
        <w:rPr>
          <w:lang w:val="ka-GE"/>
        </w:rPr>
        <w:t>სეზონური გრიპის მართვის გამოცდილების გათვალისწინებით, ქ. თბილისის მასშტაბით 4 ამბულაორია ჩართო სატელეფონო კონსულტაციისთვის 24 სთ-იან რეჟიმში.</w:t>
      </w:r>
    </w:p>
    <w:p w:rsidR="002C3D2A" w:rsidRPr="00481690" w:rsidRDefault="002C3D2A" w:rsidP="002C3D2A">
      <w:pPr>
        <w:spacing w:before="100" w:beforeAutospacing="1" w:after="100" w:afterAutospacing="1" w:line="240" w:lineRule="auto"/>
        <w:jc w:val="both"/>
        <w:rPr>
          <w:rFonts w:ascii="Times New Roman" w:eastAsia="Times New Roman" w:hAnsi="Times New Roman" w:cs="Times New Roman"/>
          <w:sz w:val="20"/>
          <w:szCs w:val="20"/>
          <w:lang w:val="ka-GE"/>
        </w:rPr>
      </w:pPr>
      <w:r>
        <w:rPr>
          <w:lang w:val="ka-GE"/>
        </w:rPr>
        <w:t xml:space="preserve">ხოლო 2020 წლის 2 აპრილიდან </w:t>
      </w:r>
      <w:r w:rsidRPr="00C011CD">
        <w:rPr>
          <w:rFonts w:eastAsia="Times New Roman" w:cs="Times New Roman"/>
          <w:sz w:val="24"/>
          <w:szCs w:val="24"/>
          <w:lang w:val="ka-GE"/>
        </w:rPr>
        <w:t>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w:t>
      </w:r>
      <w:r>
        <w:rPr>
          <w:rFonts w:eastAsia="Times New Roman" w:cs="Times New Roman"/>
          <w:sz w:val="24"/>
          <w:szCs w:val="24"/>
          <w:lang w:val="ka-GE"/>
        </w:rPr>
        <w:t xml:space="preserve"> „</w:t>
      </w:r>
      <w:r w:rsidRPr="00481690">
        <w:rPr>
          <w:rFonts w:eastAsia="Times New Roman" w:cs="Sylfaen"/>
          <w:b/>
          <w:bCs/>
          <w:spacing w:val="30"/>
          <w:sz w:val="21"/>
          <w:szCs w:val="21"/>
          <w:lang w:val="ka-GE"/>
        </w:rPr>
        <w:t>სეზონური</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გრიპისა</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და</w:t>
      </w:r>
      <w:r w:rsidRPr="00481690">
        <w:rPr>
          <w:rFonts w:ascii="Times New Roman" w:eastAsia="Times New Roman" w:hAnsi="Times New Roman" w:cs="Times New Roman"/>
          <w:b/>
          <w:bCs/>
          <w:spacing w:val="30"/>
          <w:sz w:val="21"/>
          <w:szCs w:val="21"/>
          <w:lang w:val="ka-GE"/>
        </w:rPr>
        <w:t xml:space="preserve"> COVID-19 –</w:t>
      </w:r>
      <w:r w:rsidRPr="00481690">
        <w:rPr>
          <w:rFonts w:eastAsia="Times New Roman" w:cs="Sylfaen"/>
          <w:b/>
          <w:bCs/>
          <w:spacing w:val="30"/>
          <w:sz w:val="21"/>
          <w:szCs w:val="21"/>
          <w:lang w:val="ka-GE"/>
        </w:rPr>
        <w:t>ის</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შემთხვევათა</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იდენტიფიცირებისა</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და</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სწორი</w:t>
      </w:r>
      <w:r w:rsidRPr="00481690">
        <w:rPr>
          <w:rFonts w:ascii="Times New Roman" w:eastAsia="Times New Roman" w:hAnsi="Times New Roman" w:cs="Times New Roman"/>
          <w:b/>
          <w:bCs/>
          <w:spacing w:val="30"/>
          <w:sz w:val="21"/>
          <w:szCs w:val="21"/>
          <w:lang w:val="ka-GE"/>
        </w:rPr>
        <w:t xml:space="preserve"> </w:t>
      </w:r>
      <w:r w:rsidRPr="00481690">
        <w:rPr>
          <w:rFonts w:eastAsia="Times New Roman" w:cs="Sylfaen"/>
          <w:b/>
          <w:bCs/>
          <w:spacing w:val="30"/>
          <w:sz w:val="21"/>
          <w:szCs w:val="21"/>
          <w:lang w:val="ka-GE"/>
        </w:rPr>
        <w:t>მართ</w:t>
      </w:r>
      <w:r w:rsidRPr="00C011CD">
        <w:rPr>
          <w:rFonts w:eastAsia="Times New Roman" w:cs="Sylfaen"/>
          <w:b/>
          <w:bCs/>
          <w:spacing w:val="30"/>
          <w:sz w:val="21"/>
          <w:szCs w:val="21"/>
          <w:lang w:val="ka-GE"/>
        </w:rPr>
        <w:t>ვის</w:t>
      </w:r>
      <w:r w:rsidRPr="00C011CD">
        <w:rPr>
          <w:rFonts w:ascii="Times New Roman" w:eastAsia="Times New Roman" w:hAnsi="Times New Roman" w:cs="Times New Roman"/>
          <w:b/>
          <w:bCs/>
          <w:spacing w:val="30"/>
          <w:sz w:val="21"/>
          <w:szCs w:val="21"/>
          <w:lang w:val="ka-GE"/>
        </w:rPr>
        <w:t>/</w:t>
      </w:r>
      <w:r w:rsidRPr="00C011CD">
        <w:rPr>
          <w:rFonts w:eastAsia="Times New Roman" w:cs="Sylfaen"/>
          <w:b/>
          <w:bCs/>
          <w:spacing w:val="30"/>
          <w:sz w:val="21"/>
          <w:szCs w:val="21"/>
          <w:lang w:val="ka-GE"/>
        </w:rPr>
        <w:t>რეფერალის</w:t>
      </w:r>
      <w:r w:rsidRPr="00C011CD">
        <w:rPr>
          <w:rFonts w:ascii="Times New Roman" w:eastAsia="Times New Roman" w:hAnsi="Times New Roman" w:cs="Times New Roman"/>
          <w:b/>
          <w:bCs/>
          <w:spacing w:val="30"/>
          <w:sz w:val="21"/>
          <w:szCs w:val="21"/>
          <w:lang w:val="ka-GE"/>
        </w:rPr>
        <w:t xml:space="preserve"> </w:t>
      </w:r>
      <w:r w:rsidRPr="00C011CD">
        <w:rPr>
          <w:rFonts w:eastAsia="Times New Roman" w:cs="Sylfaen"/>
          <w:b/>
          <w:bCs/>
          <w:spacing w:val="30"/>
          <w:sz w:val="21"/>
          <w:szCs w:val="21"/>
          <w:lang w:val="ka-GE"/>
        </w:rPr>
        <w:t>უზრუნველყოფის</w:t>
      </w:r>
      <w:r w:rsidRPr="00C011CD">
        <w:rPr>
          <w:rFonts w:ascii="Times New Roman" w:eastAsia="Times New Roman" w:hAnsi="Times New Roman" w:cs="Times New Roman"/>
          <w:b/>
          <w:bCs/>
          <w:spacing w:val="30"/>
          <w:sz w:val="21"/>
          <w:szCs w:val="21"/>
          <w:lang w:val="ka-GE"/>
        </w:rPr>
        <w:t xml:space="preserve"> </w:t>
      </w:r>
      <w:r w:rsidRPr="00C011CD">
        <w:rPr>
          <w:rFonts w:eastAsia="Times New Roman" w:cs="Sylfaen"/>
          <w:b/>
          <w:bCs/>
          <w:spacing w:val="30"/>
          <w:sz w:val="21"/>
          <w:szCs w:val="21"/>
          <w:lang w:val="ka-GE"/>
        </w:rPr>
        <w:t>მიზნით</w:t>
      </w:r>
      <w:r w:rsidRPr="00C011CD">
        <w:rPr>
          <w:rFonts w:ascii="Times New Roman" w:eastAsia="Times New Roman" w:hAnsi="Times New Roman" w:cs="Times New Roman"/>
          <w:b/>
          <w:bCs/>
          <w:spacing w:val="30"/>
          <w:sz w:val="21"/>
          <w:szCs w:val="21"/>
          <w:lang w:val="ka-GE"/>
        </w:rPr>
        <w:t xml:space="preserve"> </w:t>
      </w:r>
      <w:r w:rsidRPr="00C011CD">
        <w:rPr>
          <w:rFonts w:eastAsia="Times New Roman" w:cs="Sylfaen"/>
          <w:b/>
          <w:bCs/>
          <w:spacing w:val="30"/>
          <w:sz w:val="21"/>
          <w:szCs w:val="21"/>
          <w:lang w:val="ka-GE"/>
        </w:rPr>
        <w:t>გასატარებელ</w:t>
      </w:r>
      <w:r w:rsidRPr="00C011CD">
        <w:rPr>
          <w:rFonts w:ascii="Times New Roman" w:eastAsia="Times New Roman" w:hAnsi="Times New Roman" w:cs="Times New Roman"/>
          <w:b/>
          <w:bCs/>
          <w:spacing w:val="30"/>
          <w:sz w:val="21"/>
          <w:szCs w:val="21"/>
          <w:lang w:val="ka-GE"/>
        </w:rPr>
        <w:t xml:space="preserve"> </w:t>
      </w:r>
      <w:r w:rsidRPr="00C011CD">
        <w:rPr>
          <w:rFonts w:eastAsia="Times New Roman" w:cs="Sylfaen"/>
          <w:b/>
          <w:bCs/>
          <w:spacing w:val="30"/>
          <w:sz w:val="21"/>
          <w:szCs w:val="21"/>
          <w:lang w:val="ka-GE"/>
        </w:rPr>
        <w:t>ღონისძიებათა</w:t>
      </w:r>
      <w:r w:rsidRPr="00C011CD">
        <w:rPr>
          <w:rFonts w:ascii="Times New Roman" w:eastAsia="Times New Roman" w:hAnsi="Times New Roman" w:cs="Times New Roman"/>
          <w:b/>
          <w:bCs/>
          <w:spacing w:val="30"/>
          <w:sz w:val="21"/>
          <w:szCs w:val="21"/>
          <w:lang w:val="ka-GE"/>
        </w:rPr>
        <w:t xml:space="preserve"> </w:t>
      </w:r>
      <w:r w:rsidRPr="00C011CD">
        <w:rPr>
          <w:rFonts w:eastAsia="Times New Roman" w:cs="Sylfaen"/>
          <w:b/>
          <w:bCs/>
          <w:spacing w:val="30"/>
          <w:sz w:val="21"/>
          <w:szCs w:val="21"/>
          <w:lang w:val="ka-GE"/>
        </w:rPr>
        <w:t>შესახებ</w:t>
      </w:r>
      <w:r>
        <w:rPr>
          <w:rFonts w:eastAsia="Times New Roman" w:cs="Sylfaen"/>
          <w:b/>
          <w:bCs/>
          <w:spacing w:val="30"/>
          <w:sz w:val="21"/>
          <w:szCs w:val="21"/>
          <w:lang w:val="ka-GE"/>
        </w:rPr>
        <w:t xml:space="preserve">“ მინისტრის 2020 წლის 4 აპრილის N01-150/ო ბრძანებით, 2020 წლის 2 აპრილიდან განისაზღვრა </w:t>
      </w:r>
      <w:r w:rsidRPr="00C011CD">
        <w:rPr>
          <w:rFonts w:eastAsia="Times New Roman" w:cs="Times New Roman"/>
          <w:sz w:val="24"/>
          <w:szCs w:val="24"/>
          <w:lang w:val="ka-GE"/>
        </w:rPr>
        <w:t>„მორიგე“ რეჟიმში მომუშავე</w:t>
      </w:r>
      <w:r>
        <w:rPr>
          <w:rFonts w:eastAsia="Times New Roman" w:cs="Times New Roman"/>
          <w:sz w:val="24"/>
          <w:szCs w:val="24"/>
          <w:lang w:val="ka-GE"/>
        </w:rPr>
        <w:t xml:space="preserve">, საქართველოს მასშტაბით 25 დაწესებულება, </w:t>
      </w:r>
      <w:r w:rsidRPr="00C011CD">
        <w:rPr>
          <w:rFonts w:eastAsia="Times New Roman" w:cs="Times New Roman"/>
          <w:sz w:val="24"/>
          <w:szCs w:val="24"/>
          <w:lang w:val="ka-GE"/>
        </w:rPr>
        <w:t xml:space="preserve">  </w:t>
      </w:r>
      <w:r>
        <w:rPr>
          <w:rFonts w:eastAsia="Times New Roman" w:cs="Times New Roman"/>
          <w:sz w:val="24"/>
          <w:szCs w:val="24"/>
          <w:lang w:val="ka-GE"/>
        </w:rPr>
        <w:t xml:space="preserve">რომლებიც </w:t>
      </w:r>
      <w:r w:rsidRPr="00C011CD">
        <w:rPr>
          <w:rFonts w:eastAsia="Times New Roman" w:cs="Times New Roman"/>
          <w:sz w:val="24"/>
          <w:szCs w:val="24"/>
          <w:lang w:val="ka-GE"/>
        </w:rPr>
        <w:t>შესაბამისი პროტოკოლის მიხედვით, კვირაში 7 დღე, 24 საათის განმავლობაში უზრუნველყო</w:t>
      </w:r>
      <w:r>
        <w:rPr>
          <w:rFonts w:eastAsia="Times New Roman" w:cs="Times New Roman"/>
          <w:sz w:val="24"/>
          <w:szCs w:val="24"/>
          <w:lang w:val="ka-GE"/>
        </w:rPr>
        <w:t xml:space="preserve">ფენ </w:t>
      </w:r>
      <w:r w:rsidRPr="00C011CD">
        <w:rPr>
          <w:rFonts w:eastAsia="Times New Roman" w:cs="Times New Roman"/>
          <w:sz w:val="24"/>
          <w:szCs w:val="24"/>
          <w:lang w:val="ka-GE"/>
        </w:rPr>
        <w:t>პაციენტთა სატელეფონო კონსულტაცია</w:t>
      </w:r>
      <w:r>
        <w:rPr>
          <w:rFonts w:eastAsia="Times New Roman" w:cs="Times New Roman"/>
          <w:sz w:val="24"/>
          <w:szCs w:val="24"/>
          <w:lang w:val="ka-GE"/>
        </w:rPr>
        <w:t>ს</w:t>
      </w:r>
      <w:r w:rsidRPr="00C011CD">
        <w:rPr>
          <w:rFonts w:eastAsia="Times New Roman" w:cs="Times New Roman"/>
          <w:sz w:val="24"/>
          <w:szCs w:val="24"/>
          <w:lang w:val="ka-GE"/>
        </w:rPr>
        <w:t xml:space="preserve">. </w:t>
      </w:r>
      <w:r>
        <w:rPr>
          <w:rFonts w:eastAsia="Times New Roman" w:cs="Times New Roman"/>
          <w:sz w:val="24"/>
          <w:szCs w:val="24"/>
          <w:lang w:val="ka-GE"/>
        </w:rPr>
        <w:t xml:space="preserve">აღნიშნულ პროცესში ჩართული იყო </w:t>
      </w:r>
      <w:r w:rsidRPr="00C011CD">
        <w:rPr>
          <w:rFonts w:eastAsia="Times New Roman" w:cs="Times New Roman"/>
          <w:sz w:val="24"/>
          <w:szCs w:val="24"/>
          <w:lang w:val="ka-GE"/>
        </w:rPr>
        <w:t>სამედიცინო უნივერსიტეტების ბოლო ორი დამამთავრებელი კურსის სტუდენტები, შესაბამისი ტრენინგების უზრუნველყოფის შემდეგ.</w:t>
      </w:r>
    </w:p>
    <w:p w:rsidR="002C3D2A" w:rsidRDefault="002C3D2A" w:rsidP="002C3D2A">
      <w:pPr>
        <w:spacing w:before="100" w:beforeAutospacing="1" w:after="100" w:afterAutospacing="1" w:line="240" w:lineRule="auto"/>
        <w:jc w:val="both"/>
        <w:rPr>
          <w:rFonts w:eastAsia="Times New Roman" w:cs="Times New Roman"/>
          <w:color w:val="000000"/>
          <w:sz w:val="24"/>
          <w:szCs w:val="24"/>
          <w:lang w:val="ka-GE"/>
        </w:rPr>
      </w:pPr>
      <w:r>
        <w:rPr>
          <w:rFonts w:eastAsia="Times New Roman" w:cs="Sylfaen"/>
          <w:b/>
          <w:bCs/>
          <w:spacing w:val="30"/>
          <w:sz w:val="21"/>
          <w:szCs w:val="21"/>
          <w:lang w:val="ka-GE"/>
        </w:rPr>
        <w:t xml:space="preserve"> აღნიშნული დაწესებულებების სამედიცინო პერსონალს ჩაუტარდა ტრენინგი </w:t>
      </w:r>
      <w:r w:rsidRPr="00FA6022">
        <w:rPr>
          <w:rFonts w:eastAsia="Times New Roman" w:cs="Times New Roman"/>
          <w:color w:val="000000"/>
          <w:sz w:val="24"/>
          <w:szCs w:val="24"/>
          <w:lang w:val="ka-GE"/>
        </w:rPr>
        <w:t>,,ახალი კორონავირუსით (SARS-CoV-2) გამოწვეულ ინფექციაზე (COVID-19) საეჭვო შემთხვევის მართვა პირველად ჯანდაცვაში" კლინიკური მდგომარეობის მართვის სახელმწიფო სტა</w:t>
      </w:r>
      <w:r>
        <w:rPr>
          <w:rFonts w:eastAsia="Times New Roman" w:cs="Times New Roman"/>
          <w:color w:val="000000"/>
          <w:sz w:val="24"/>
          <w:szCs w:val="24"/>
          <w:lang w:val="ka-GE"/>
        </w:rPr>
        <w:t>ნდარტის (პროტოკოლი) შესაბამისად („</w:t>
      </w:r>
      <w:r w:rsidRPr="00C011CD">
        <w:rPr>
          <w:rFonts w:eastAsia="Times New Roman" w:cs="Times New Roman"/>
          <w:color w:val="000000"/>
          <w:sz w:val="24"/>
          <w:szCs w:val="24"/>
          <w:lang w:val="ka-GE"/>
        </w:rPr>
        <w:t xml:space="preserve">ახალი კორონავირუსით (SARS-CoV-2) გამოწვეულ ინფექციაზე (COVID-19) საეჭვო შემთხვევის მართვა პირველად ჯანდაცვაში“ - კლინიკური მდგომარეობის მართვის </w:t>
      </w:r>
      <w:r w:rsidRPr="00C011CD">
        <w:rPr>
          <w:rFonts w:eastAsia="Times New Roman" w:cs="Times New Roman"/>
          <w:color w:val="000000"/>
          <w:sz w:val="24"/>
          <w:szCs w:val="24"/>
          <w:lang w:val="ka-GE"/>
        </w:rPr>
        <w:lastRenderedPageBreak/>
        <w:t>სახელმწიფო სტანდარტის (პროტოკოლის) დამტკიცების თაობაზე</w:t>
      </w:r>
      <w:r>
        <w:rPr>
          <w:rFonts w:eastAsia="Times New Roman" w:cs="Times New Roman"/>
          <w:color w:val="000000"/>
          <w:sz w:val="24"/>
          <w:szCs w:val="24"/>
          <w:lang w:val="ka-GE"/>
        </w:rPr>
        <w:t>“ მინისტრის 2020 წლის 30 მარტის N</w:t>
      </w:r>
      <w:r w:rsidRPr="00C011CD">
        <w:rPr>
          <w:rFonts w:eastAsia="Times New Roman" w:cs="Times New Roman"/>
          <w:color w:val="000000"/>
          <w:sz w:val="24"/>
          <w:szCs w:val="24"/>
          <w:lang w:val="ka-GE"/>
        </w:rPr>
        <w:t>01-135/ო</w:t>
      </w:r>
      <w:r>
        <w:rPr>
          <w:rFonts w:eastAsia="Times New Roman" w:cs="Times New Roman"/>
          <w:color w:val="000000"/>
          <w:sz w:val="24"/>
          <w:szCs w:val="24"/>
          <w:lang w:val="ka-GE"/>
        </w:rPr>
        <w:t xml:space="preserve"> ბრძანება).</w:t>
      </w:r>
    </w:p>
    <w:p w:rsidR="002C3D2A" w:rsidRPr="00920D49" w:rsidRDefault="002C3D2A" w:rsidP="002C3D2A">
      <w:pPr>
        <w:spacing w:before="100" w:beforeAutospacing="1" w:after="100" w:afterAutospacing="1" w:line="240" w:lineRule="auto"/>
        <w:jc w:val="both"/>
        <w:rPr>
          <w:sz w:val="24"/>
          <w:szCs w:val="24"/>
        </w:rPr>
      </w:pPr>
      <w:r>
        <w:rPr>
          <w:rFonts w:eastAsia="Times New Roman" w:cs="Times New Roman"/>
          <w:color w:val="000000"/>
          <w:sz w:val="24"/>
          <w:szCs w:val="24"/>
          <w:lang w:val="ka-GE"/>
        </w:rPr>
        <w:t xml:space="preserve">ტრენინგი ჩაუტარდა ასევე, საქართველოს მასშტაბით </w:t>
      </w:r>
      <w:r w:rsidRPr="00840294">
        <w:rPr>
          <w:sz w:val="24"/>
          <w:szCs w:val="24"/>
          <w:lang w:val="ka-GE"/>
        </w:rPr>
        <w:t>295-დან</w:t>
      </w:r>
      <w:r>
        <w:rPr>
          <w:sz w:val="24"/>
          <w:szCs w:val="24"/>
          <w:lang w:val="ka-GE"/>
        </w:rPr>
        <w:t xml:space="preserve"> </w:t>
      </w:r>
      <w:r w:rsidRPr="00840294">
        <w:rPr>
          <w:sz w:val="24"/>
          <w:szCs w:val="24"/>
          <w:lang w:val="ka-GE"/>
        </w:rPr>
        <w:t>244 პჯდ დაწესებულებ</w:t>
      </w:r>
      <w:r>
        <w:rPr>
          <w:sz w:val="24"/>
          <w:szCs w:val="24"/>
          <w:lang w:val="ka-GE"/>
        </w:rPr>
        <w:t>ის ოჯახის ექიმს/ უბნის (თერაპევტი, პედიატრი) ექიმს</w:t>
      </w:r>
      <w:r>
        <w:rPr>
          <w:sz w:val="24"/>
          <w:szCs w:val="24"/>
        </w:rPr>
        <w:t xml:space="preserve">, </w:t>
      </w:r>
      <w:r>
        <w:rPr>
          <w:sz w:val="24"/>
          <w:szCs w:val="24"/>
          <w:lang w:val="ka-GE"/>
        </w:rPr>
        <w:t xml:space="preserve">საქართველოს ტერიტორიაზე </w:t>
      </w:r>
      <w:r w:rsidRPr="00840294">
        <w:rPr>
          <w:sz w:val="24"/>
          <w:szCs w:val="24"/>
          <w:lang w:val="ka-GE"/>
        </w:rPr>
        <w:t>სპეცდაფინანსებ</w:t>
      </w:r>
      <w:r>
        <w:rPr>
          <w:sz w:val="24"/>
          <w:szCs w:val="24"/>
          <w:lang w:val="ka-GE"/>
        </w:rPr>
        <w:t>აზე მყოფი 12 დაწესებულების ოჯახის ექიმს/უბნის ექიმს;</w:t>
      </w:r>
      <w:r>
        <w:rPr>
          <w:sz w:val="24"/>
          <w:szCs w:val="24"/>
        </w:rPr>
        <w:t xml:space="preserve"> </w:t>
      </w:r>
      <w:r w:rsidRPr="00840294">
        <w:rPr>
          <w:sz w:val="24"/>
          <w:szCs w:val="24"/>
          <w:lang w:val="ka-GE"/>
        </w:rPr>
        <w:t xml:space="preserve">გალის ტერიტორიაზე მდებარე </w:t>
      </w:r>
      <w:r>
        <w:rPr>
          <w:sz w:val="24"/>
          <w:szCs w:val="24"/>
          <w:lang w:val="ka-GE"/>
        </w:rPr>
        <w:t xml:space="preserve">სპეცდაფინანსებაზე მყოფი </w:t>
      </w:r>
      <w:r w:rsidRPr="00840294">
        <w:rPr>
          <w:sz w:val="24"/>
          <w:szCs w:val="24"/>
          <w:lang w:val="ka-GE"/>
        </w:rPr>
        <w:t>სამედიცინო დაწესებულებებ</w:t>
      </w:r>
      <w:r>
        <w:rPr>
          <w:sz w:val="24"/>
          <w:szCs w:val="24"/>
          <w:lang w:val="ka-GE"/>
        </w:rPr>
        <w:t>ი</w:t>
      </w:r>
      <w:r w:rsidRPr="00840294">
        <w:rPr>
          <w:sz w:val="24"/>
          <w:szCs w:val="24"/>
          <w:lang w:val="ka-GE"/>
        </w:rPr>
        <w:t>ს</w:t>
      </w:r>
      <w:r>
        <w:rPr>
          <w:sz w:val="24"/>
          <w:szCs w:val="24"/>
          <w:lang w:val="ka-GE"/>
        </w:rPr>
        <w:t xml:space="preserve"> სამედიცინო პერსონალს</w:t>
      </w:r>
      <w:r>
        <w:rPr>
          <w:sz w:val="24"/>
          <w:szCs w:val="24"/>
        </w:rPr>
        <w:t xml:space="preserve">, </w:t>
      </w:r>
      <w:r w:rsidRPr="00840294">
        <w:rPr>
          <w:sz w:val="24"/>
          <w:szCs w:val="24"/>
          <w:lang w:val="ka-GE"/>
        </w:rPr>
        <w:t>9</w:t>
      </w:r>
      <w:r>
        <w:rPr>
          <w:sz w:val="24"/>
          <w:szCs w:val="24"/>
          <w:lang w:val="ka-GE"/>
        </w:rPr>
        <w:t>74</w:t>
      </w:r>
      <w:r w:rsidRPr="00840294">
        <w:rPr>
          <w:sz w:val="24"/>
          <w:szCs w:val="24"/>
          <w:lang w:val="ka-GE"/>
        </w:rPr>
        <w:t xml:space="preserve"> სოფლის </w:t>
      </w:r>
      <w:r>
        <w:rPr>
          <w:sz w:val="24"/>
          <w:szCs w:val="24"/>
          <w:lang w:val="ka-GE"/>
        </w:rPr>
        <w:t>ექიმ</w:t>
      </w:r>
      <w:r w:rsidRPr="00840294">
        <w:rPr>
          <w:sz w:val="24"/>
          <w:szCs w:val="24"/>
          <w:lang w:val="ka-GE"/>
        </w:rPr>
        <w:t>ს</w:t>
      </w:r>
      <w:r>
        <w:rPr>
          <w:sz w:val="24"/>
          <w:szCs w:val="24"/>
        </w:rPr>
        <w:t xml:space="preserve"> (</w:t>
      </w:r>
      <w:r>
        <w:rPr>
          <w:sz w:val="24"/>
          <w:szCs w:val="24"/>
          <w:lang w:val="ka-GE"/>
        </w:rPr>
        <w:t>სულ დაახლოებით 2,500-მდე ექიმს); ამჟამად გრძელდება სუპერვიზიები.</w:t>
      </w:r>
      <w:bookmarkEnd w:id="1"/>
    </w:p>
    <w:sectPr w:rsidR="002C3D2A" w:rsidRPr="00920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A4E"/>
    <w:multiLevelType w:val="multilevel"/>
    <w:tmpl w:val="F5A2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F5AA4"/>
    <w:multiLevelType w:val="multilevel"/>
    <w:tmpl w:val="02C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0032A"/>
    <w:multiLevelType w:val="multilevel"/>
    <w:tmpl w:val="0E34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960DB"/>
    <w:multiLevelType w:val="multilevel"/>
    <w:tmpl w:val="1086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D01E2"/>
    <w:multiLevelType w:val="hybridMultilevel"/>
    <w:tmpl w:val="B0BCD1D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0EE1A67"/>
    <w:multiLevelType w:val="multilevel"/>
    <w:tmpl w:val="53B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B1826"/>
    <w:multiLevelType w:val="hybridMultilevel"/>
    <w:tmpl w:val="03CE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95E47"/>
    <w:multiLevelType w:val="hybridMultilevel"/>
    <w:tmpl w:val="27BEED40"/>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93309E"/>
    <w:multiLevelType w:val="multilevel"/>
    <w:tmpl w:val="95B48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0273D"/>
    <w:multiLevelType w:val="hybridMultilevel"/>
    <w:tmpl w:val="3370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21292"/>
    <w:multiLevelType w:val="multilevel"/>
    <w:tmpl w:val="531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B35B5"/>
    <w:multiLevelType w:val="multilevel"/>
    <w:tmpl w:val="342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82ABF"/>
    <w:multiLevelType w:val="hybridMultilevel"/>
    <w:tmpl w:val="7A10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6323F"/>
    <w:multiLevelType w:val="hybridMultilevel"/>
    <w:tmpl w:val="7A10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0A633F"/>
    <w:multiLevelType w:val="multilevel"/>
    <w:tmpl w:val="781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7E39D4"/>
    <w:multiLevelType w:val="multilevel"/>
    <w:tmpl w:val="813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B3D62"/>
    <w:multiLevelType w:val="hybridMultilevel"/>
    <w:tmpl w:val="4F50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4224C3"/>
    <w:multiLevelType w:val="hybridMultilevel"/>
    <w:tmpl w:val="11E03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0D6FEE"/>
    <w:multiLevelType w:val="hybridMultilevel"/>
    <w:tmpl w:val="9A58A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BB4D0A"/>
    <w:multiLevelType w:val="multilevel"/>
    <w:tmpl w:val="607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43F90"/>
    <w:multiLevelType w:val="hybridMultilevel"/>
    <w:tmpl w:val="1916C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8F07013"/>
    <w:multiLevelType w:val="multilevel"/>
    <w:tmpl w:val="BD8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5"/>
  </w:num>
  <w:num w:numId="4">
    <w:abstractNumId w:val="19"/>
  </w:num>
  <w:num w:numId="5">
    <w:abstractNumId w:val="1"/>
  </w:num>
  <w:num w:numId="6">
    <w:abstractNumId w:val="3"/>
  </w:num>
  <w:num w:numId="7">
    <w:abstractNumId w:val="15"/>
  </w:num>
  <w:num w:numId="8">
    <w:abstractNumId w:val="10"/>
  </w:num>
  <w:num w:numId="9">
    <w:abstractNumId w:val="21"/>
  </w:num>
  <w:num w:numId="10">
    <w:abstractNumId w:val="2"/>
  </w:num>
  <w:num w:numId="11">
    <w:abstractNumId w:val="8"/>
  </w:num>
  <w:num w:numId="12">
    <w:abstractNumId w:val="0"/>
  </w:num>
  <w:num w:numId="13">
    <w:abstractNumId w:val="9"/>
  </w:num>
  <w:num w:numId="14">
    <w:abstractNumId w:val="6"/>
  </w:num>
  <w:num w:numId="15">
    <w:abstractNumId w:val="16"/>
  </w:num>
  <w:num w:numId="16">
    <w:abstractNumId w:val="13"/>
  </w:num>
  <w:num w:numId="17">
    <w:abstractNumId w:val="20"/>
  </w:num>
  <w:num w:numId="18">
    <w:abstractNumId w:val="7"/>
  </w:num>
  <w:num w:numId="19">
    <w:abstractNumId w:val="17"/>
  </w:num>
  <w:num w:numId="20">
    <w:abstractNumId w:val="4"/>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C1"/>
    <w:rsid w:val="00020372"/>
    <w:rsid w:val="001D0ECE"/>
    <w:rsid w:val="002B0C24"/>
    <w:rsid w:val="002B431B"/>
    <w:rsid w:val="002C1803"/>
    <w:rsid w:val="002C3D2A"/>
    <w:rsid w:val="002D6C62"/>
    <w:rsid w:val="00302CFC"/>
    <w:rsid w:val="003639B5"/>
    <w:rsid w:val="00372F96"/>
    <w:rsid w:val="00384092"/>
    <w:rsid w:val="0042507C"/>
    <w:rsid w:val="00437654"/>
    <w:rsid w:val="004F1911"/>
    <w:rsid w:val="004F3B03"/>
    <w:rsid w:val="00576DC1"/>
    <w:rsid w:val="005A7979"/>
    <w:rsid w:val="006E709B"/>
    <w:rsid w:val="0080412F"/>
    <w:rsid w:val="008E1F95"/>
    <w:rsid w:val="00910C49"/>
    <w:rsid w:val="00954BC0"/>
    <w:rsid w:val="009756D2"/>
    <w:rsid w:val="00A04C76"/>
    <w:rsid w:val="00A05556"/>
    <w:rsid w:val="00AB40DE"/>
    <w:rsid w:val="00AC157C"/>
    <w:rsid w:val="00AD2E79"/>
    <w:rsid w:val="00B25840"/>
    <w:rsid w:val="00C2572E"/>
    <w:rsid w:val="00C94662"/>
    <w:rsid w:val="00CD326B"/>
    <w:rsid w:val="00D54461"/>
    <w:rsid w:val="00E02313"/>
    <w:rsid w:val="00E72F67"/>
    <w:rsid w:val="00E847F2"/>
    <w:rsid w:val="00EC240E"/>
    <w:rsid w:val="00F0192C"/>
    <w:rsid w:val="00F177EF"/>
    <w:rsid w:val="00FA6022"/>
    <w:rsid w:val="00FB15E9"/>
    <w:rsid w:val="00FB1DBA"/>
    <w:rsid w:val="00FE09C6"/>
    <w:rsid w:val="00FE33FA"/>
    <w:rsid w:val="00FE7B26"/>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C1"/>
    <w:pPr>
      <w:ind w:left="720"/>
      <w:contextualSpacing/>
    </w:pPr>
  </w:style>
  <w:style w:type="paragraph" w:customStyle="1" w:styleId="abzacixml">
    <w:name w:val="abzacixml"/>
    <w:basedOn w:val="Normal"/>
    <w:rsid w:val="00804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8041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5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5yl5"/>
    <w:basedOn w:val="DefaultParagraphFont"/>
    <w:rsid w:val="00C2572E"/>
  </w:style>
  <w:style w:type="paragraph" w:customStyle="1" w:styleId="Normal2">
    <w:name w:val="Normal2"/>
    <w:basedOn w:val="Normal"/>
    <w:rsid w:val="00C946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C1"/>
    <w:pPr>
      <w:ind w:left="720"/>
      <w:contextualSpacing/>
    </w:pPr>
  </w:style>
  <w:style w:type="paragraph" w:customStyle="1" w:styleId="abzacixml">
    <w:name w:val="abzacixml"/>
    <w:basedOn w:val="Normal"/>
    <w:rsid w:val="00804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8041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5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5yl5"/>
    <w:basedOn w:val="DefaultParagraphFont"/>
    <w:rsid w:val="00C2572E"/>
  </w:style>
  <w:style w:type="paragraph" w:customStyle="1" w:styleId="Normal2">
    <w:name w:val="Normal2"/>
    <w:basedOn w:val="Normal"/>
    <w:rsid w:val="00C94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317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94">
          <w:marLeft w:val="0"/>
          <w:marRight w:val="0"/>
          <w:marTop w:val="0"/>
          <w:marBottom w:val="0"/>
          <w:divBdr>
            <w:top w:val="none" w:sz="0" w:space="0" w:color="auto"/>
            <w:left w:val="none" w:sz="0" w:space="0" w:color="auto"/>
            <w:bottom w:val="none" w:sz="0" w:space="0" w:color="auto"/>
            <w:right w:val="none" w:sz="0" w:space="0" w:color="auto"/>
          </w:divBdr>
        </w:div>
      </w:divsChild>
    </w:div>
    <w:div w:id="89011817">
      <w:bodyDiv w:val="1"/>
      <w:marLeft w:val="0"/>
      <w:marRight w:val="0"/>
      <w:marTop w:val="0"/>
      <w:marBottom w:val="0"/>
      <w:divBdr>
        <w:top w:val="none" w:sz="0" w:space="0" w:color="auto"/>
        <w:left w:val="none" w:sz="0" w:space="0" w:color="auto"/>
        <w:bottom w:val="none" w:sz="0" w:space="0" w:color="auto"/>
        <w:right w:val="none" w:sz="0" w:space="0" w:color="auto"/>
      </w:divBdr>
      <w:divsChild>
        <w:div w:id="1592470728">
          <w:marLeft w:val="0"/>
          <w:marRight w:val="0"/>
          <w:marTop w:val="0"/>
          <w:marBottom w:val="0"/>
          <w:divBdr>
            <w:top w:val="none" w:sz="0" w:space="0" w:color="auto"/>
            <w:left w:val="none" w:sz="0" w:space="0" w:color="auto"/>
            <w:bottom w:val="none" w:sz="0" w:space="0" w:color="auto"/>
            <w:right w:val="none" w:sz="0" w:space="0" w:color="auto"/>
          </w:divBdr>
        </w:div>
        <w:div w:id="227617348">
          <w:marLeft w:val="0"/>
          <w:marRight w:val="0"/>
          <w:marTop w:val="0"/>
          <w:marBottom w:val="0"/>
          <w:divBdr>
            <w:top w:val="none" w:sz="0" w:space="0" w:color="auto"/>
            <w:left w:val="none" w:sz="0" w:space="0" w:color="auto"/>
            <w:bottom w:val="none" w:sz="0" w:space="0" w:color="auto"/>
            <w:right w:val="none" w:sz="0" w:space="0" w:color="auto"/>
          </w:divBdr>
        </w:div>
      </w:divsChild>
    </w:div>
    <w:div w:id="133791036">
      <w:bodyDiv w:val="1"/>
      <w:marLeft w:val="0"/>
      <w:marRight w:val="0"/>
      <w:marTop w:val="0"/>
      <w:marBottom w:val="0"/>
      <w:divBdr>
        <w:top w:val="none" w:sz="0" w:space="0" w:color="auto"/>
        <w:left w:val="none" w:sz="0" w:space="0" w:color="auto"/>
        <w:bottom w:val="none" w:sz="0" w:space="0" w:color="auto"/>
        <w:right w:val="none" w:sz="0" w:space="0" w:color="auto"/>
      </w:divBdr>
      <w:divsChild>
        <w:div w:id="718751465">
          <w:marLeft w:val="0"/>
          <w:marRight w:val="0"/>
          <w:marTop w:val="0"/>
          <w:marBottom w:val="0"/>
          <w:divBdr>
            <w:top w:val="none" w:sz="0" w:space="0" w:color="auto"/>
            <w:left w:val="none" w:sz="0" w:space="0" w:color="auto"/>
            <w:bottom w:val="none" w:sz="0" w:space="0" w:color="auto"/>
            <w:right w:val="none" w:sz="0" w:space="0" w:color="auto"/>
          </w:divBdr>
        </w:div>
      </w:divsChild>
    </w:div>
    <w:div w:id="276371094">
      <w:bodyDiv w:val="1"/>
      <w:marLeft w:val="0"/>
      <w:marRight w:val="0"/>
      <w:marTop w:val="0"/>
      <w:marBottom w:val="0"/>
      <w:divBdr>
        <w:top w:val="none" w:sz="0" w:space="0" w:color="auto"/>
        <w:left w:val="none" w:sz="0" w:space="0" w:color="auto"/>
        <w:bottom w:val="none" w:sz="0" w:space="0" w:color="auto"/>
        <w:right w:val="none" w:sz="0" w:space="0" w:color="auto"/>
      </w:divBdr>
      <w:divsChild>
        <w:div w:id="691809959">
          <w:marLeft w:val="0"/>
          <w:marRight w:val="0"/>
          <w:marTop w:val="0"/>
          <w:marBottom w:val="0"/>
          <w:divBdr>
            <w:top w:val="none" w:sz="0" w:space="0" w:color="auto"/>
            <w:left w:val="none" w:sz="0" w:space="0" w:color="auto"/>
            <w:bottom w:val="none" w:sz="0" w:space="0" w:color="auto"/>
            <w:right w:val="none" w:sz="0" w:space="0" w:color="auto"/>
          </w:divBdr>
        </w:div>
      </w:divsChild>
    </w:div>
    <w:div w:id="292104920">
      <w:bodyDiv w:val="1"/>
      <w:marLeft w:val="0"/>
      <w:marRight w:val="0"/>
      <w:marTop w:val="0"/>
      <w:marBottom w:val="0"/>
      <w:divBdr>
        <w:top w:val="none" w:sz="0" w:space="0" w:color="auto"/>
        <w:left w:val="none" w:sz="0" w:space="0" w:color="auto"/>
        <w:bottom w:val="none" w:sz="0" w:space="0" w:color="auto"/>
        <w:right w:val="none" w:sz="0" w:space="0" w:color="auto"/>
      </w:divBdr>
      <w:divsChild>
        <w:div w:id="1403025276">
          <w:marLeft w:val="0"/>
          <w:marRight w:val="0"/>
          <w:marTop w:val="0"/>
          <w:marBottom w:val="0"/>
          <w:divBdr>
            <w:top w:val="none" w:sz="0" w:space="0" w:color="auto"/>
            <w:left w:val="none" w:sz="0" w:space="0" w:color="auto"/>
            <w:bottom w:val="none" w:sz="0" w:space="0" w:color="auto"/>
            <w:right w:val="none" w:sz="0" w:space="0" w:color="auto"/>
          </w:divBdr>
        </w:div>
        <w:div w:id="30501071">
          <w:marLeft w:val="0"/>
          <w:marRight w:val="0"/>
          <w:marTop w:val="0"/>
          <w:marBottom w:val="0"/>
          <w:divBdr>
            <w:top w:val="none" w:sz="0" w:space="0" w:color="auto"/>
            <w:left w:val="none" w:sz="0" w:space="0" w:color="auto"/>
            <w:bottom w:val="none" w:sz="0" w:space="0" w:color="auto"/>
            <w:right w:val="none" w:sz="0" w:space="0" w:color="auto"/>
          </w:divBdr>
        </w:div>
      </w:divsChild>
    </w:div>
    <w:div w:id="339548179">
      <w:bodyDiv w:val="1"/>
      <w:marLeft w:val="0"/>
      <w:marRight w:val="0"/>
      <w:marTop w:val="0"/>
      <w:marBottom w:val="0"/>
      <w:divBdr>
        <w:top w:val="none" w:sz="0" w:space="0" w:color="auto"/>
        <w:left w:val="none" w:sz="0" w:space="0" w:color="auto"/>
        <w:bottom w:val="none" w:sz="0" w:space="0" w:color="auto"/>
        <w:right w:val="none" w:sz="0" w:space="0" w:color="auto"/>
      </w:divBdr>
    </w:div>
    <w:div w:id="374039494">
      <w:bodyDiv w:val="1"/>
      <w:marLeft w:val="0"/>
      <w:marRight w:val="0"/>
      <w:marTop w:val="0"/>
      <w:marBottom w:val="0"/>
      <w:divBdr>
        <w:top w:val="none" w:sz="0" w:space="0" w:color="auto"/>
        <w:left w:val="none" w:sz="0" w:space="0" w:color="auto"/>
        <w:bottom w:val="none" w:sz="0" w:space="0" w:color="auto"/>
        <w:right w:val="none" w:sz="0" w:space="0" w:color="auto"/>
      </w:divBdr>
      <w:divsChild>
        <w:div w:id="1360281364">
          <w:marLeft w:val="0"/>
          <w:marRight w:val="0"/>
          <w:marTop w:val="0"/>
          <w:marBottom w:val="0"/>
          <w:divBdr>
            <w:top w:val="none" w:sz="0" w:space="0" w:color="auto"/>
            <w:left w:val="none" w:sz="0" w:space="0" w:color="auto"/>
            <w:bottom w:val="none" w:sz="0" w:space="0" w:color="auto"/>
            <w:right w:val="none" w:sz="0" w:space="0" w:color="auto"/>
          </w:divBdr>
        </w:div>
      </w:divsChild>
    </w:div>
    <w:div w:id="401025678">
      <w:bodyDiv w:val="1"/>
      <w:marLeft w:val="0"/>
      <w:marRight w:val="0"/>
      <w:marTop w:val="0"/>
      <w:marBottom w:val="0"/>
      <w:divBdr>
        <w:top w:val="none" w:sz="0" w:space="0" w:color="auto"/>
        <w:left w:val="none" w:sz="0" w:space="0" w:color="auto"/>
        <w:bottom w:val="none" w:sz="0" w:space="0" w:color="auto"/>
        <w:right w:val="none" w:sz="0" w:space="0" w:color="auto"/>
      </w:divBdr>
      <w:divsChild>
        <w:div w:id="2010518447">
          <w:marLeft w:val="0"/>
          <w:marRight w:val="0"/>
          <w:marTop w:val="0"/>
          <w:marBottom w:val="0"/>
          <w:divBdr>
            <w:top w:val="none" w:sz="0" w:space="0" w:color="auto"/>
            <w:left w:val="none" w:sz="0" w:space="0" w:color="auto"/>
            <w:bottom w:val="none" w:sz="0" w:space="0" w:color="auto"/>
            <w:right w:val="none" w:sz="0" w:space="0" w:color="auto"/>
          </w:divBdr>
        </w:div>
      </w:divsChild>
    </w:div>
    <w:div w:id="404911576">
      <w:bodyDiv w:val="1"/>
      <w:marLeft w:val="0"/>
      <w:marRight w:val="0"/>
      <w:marTop w:val="0"/>
      <w:marBottom w:val="0"/>
      <w:divBdr>
        <w:top w:val="none" w:sz="0" w:space="0" w:color="auto"/>
        <w:left w:val="none" w:sz="0" w:space="0" w:color="auto"/>
        <w:bottom w:val="none" w:sz="0" w:space="0" w:color="auto"/>
        <w:right w:val="none" w:sz="0" w:space="0" w:color="auto"/>
      </w:divBdr>
      <w:divsChild>
        <w:div w:id="1003818082">
          <w:marLeft w:val="0"/>
          <w:marRight w:val="0"/>
          <w:marTop w:val="0"/>
          <w:marBottom w:val="0"/>
          <w:divBdr>
            <w:top w:val="none" w:sz="0" w:space="0" w:color="auto"/>
            <w:left w:val="none" w:sz="0" w:space="0" w:color="auto"/>
            <w:bottom w:val="none" w:sz="0" w:space="0" w:color="auto"/>
            <w:right w:val="none" w:sz="0" w:space="0" w:color="auto"/>
          </w:divBdr>
        </w:div>
        <w:div w:id="67308209">
          <w:marLeft w:val="0"/>
          <w:marRight w:val="0"/>
          <w:marTop w:val="0"/>
          <w:marBottom w:val="0"/>
          <w:divBdr>
            <w:top w:val="none" w:sz="0" w:space="0" w:color="auto"/>
            <w:left w:val="none" w:sz="0" w:space="0" w:color="auto"/>
            <w:bottom w:val="none" w:sz="0" w:space="0" w:color="auto"/>
            <w:right w:val="none" w:sz="0" w:space="0" w:color="auto"/>
          </w:divBdr>
        </w:div>
      </w:divsChild>
    </w:div>
    <w:div w:id="411705176">
      <w:bodyDiv w:val="1"/>
      <w:marLeft w:val="0"/>
      <w:marRight w:val="0"/>
      <w:marTop w:val="0"/>
      <w:marBottom w:val="0"/>
      <w:divBdr>
        <w:top w:val="none" w:sz="0" w:space="0" w:color="auto"/>
        <w:left w:val="none" w:sz="0" w:space="0" w:color="auto"/>
        <w:bottom w:val="none" w:sz="0" w:space="0" w:color="auto"/>
        <w:right w:val="none" w:sz="0" w:space="0" w:color="auto"/>
      </w:divBdr>
      <w:divsChild>
        <w:div w:id="638145915">
          <w:marLeft w:val="0"/>
          <w:marRight w:val="0"/>
          <w:marTop w:val="0"/>
          <w:marBottom w:val="0"/>
          <w:divBdr>
            <w:top w:val="none" w:sz="0" w:space="0" w:color="auto"/>
            <w:left w:val="none" w:sz="0" w:space="0" w:color="auto"/>
            <w:bottom w:val="none" w:sz="0" w:space="0" w:color="auto"/>
            <w:right w:val="none" w:sz="0" w:space="0" w:color="auto"/>
          </w:divBdr>
        </w:div>
      </w:divsChild>
    </w:div>
    <w:div w:id="438452562">
      <w:bodyDiv w:val="1"/>
      <w:marLeft w:val="0"/>
      <w:marRight w:val="0"/>
      <w:marTop w:val="0"/>
      <w:marBottom w:val="0"/>
      <w:divBdr>
        <w:top w:val="none" w:sz="0" w:space="0" w:color="auto"/>
        <w:left w:val="none" w:sz="0" w:space="0" w:color="auto"/>
        <w:bottom w:val="none" w:sz="0" w:space="0" w:color="auto"/>
        <w:right w:val="none" w:sz="0" w:space="0" w:color="auto"/>
      </w:divBdr>
      <w:divsChild>
        <w:div w:id="1200126250">
          <w:marLeft w:val="0"/>
          <w:marRight w:val="0"/>
          <w:marTop w:val="0"/>
          <w:marBottom w:val="0"/>
          <w:divBdr>
            <w:top w:val="none" w:sz="0" w:space="0" w:color="auto"/>
            <w:left w:val="none" w:sz="0" w:space="0" w:color="auto"/>
            <w:bottom w:val="none" w:sz="0" w:space="0" w:color="auto"/>
            <w:right w:val="none" w:sz="0" w:space="0" w:color="auto"/>
          </w:divBdr>
        </w:div>
        <w:div w:id="1941251890">
          <w:marLeft w:val="0"/>
          <w:marRight w:val="0"/>
          <w:marTop w:val="0"/>
          <w:marBottom w:val="0"/>
          <w:divBdr>
            <w:top w:val="none" w:sz="0" w:space="0" w:color="auto"/>
            <w:left w:val="none" w:sz="0" w:space="0" w:color="auto"/>
            <w:bottom w:val="none" w:sz="0" w:space="0" w:color="auto"/>
            <w:right w:val="none" w:sz="0" w:space="0" w:color="auto"/>
          </w:divBdr>
        </w:div>
      </w:divsChild>
    </w:div>
    <w:div w:id="474832777">
      <w:bodyDiv w:val="1"/>
      <w:marLeft w:val="0"/>
      <w:marRight w:val="0"/>
      <w:marTop w:val="0"/>
      <w:marBottom w:val="0"/>
      <w:divBdr>
        <w:top w:val="none" w:sz="0" w:space="0" w:color="auto"/>
        <w:left w:val="none" w:sz="0" w:space="0" w:color="auto"/>
        <w:bottom w:val="none" w:sz="0" w:space="0" w:color="auto"/>
        <w:right w:val="none" w:sz="0" w:space="0" w:color="auto"/>
      </w:divBdr>
      <w:divsChild>
        <w:div w:id="1912226159">
          <w:marLeft w:val="0"/>
          <w:marRight w:val="0"/>
          <w:marTop w:val="0"/>
          <w:marBottom w:val="0"/>
          <w:divBdr>
            <w:top w:val="none" w:sz="0" w:space="0" w:color="auto"/>
            <w:left w:val="none" w:sz="0" w:space="0" w:color="auto"/>
            <w:bottom w:val="none" w:sz="0" w:space="0" w:color="auto"/>
            <w:right w:val="none" w:sz="0" w:space="0" w:color="auto"/>
          </w:divBdr>
        </w:div>
      </w:divsChild>
    </w:div>
    <w:div w:id="493568076">
      <w:bodyDiv w:val="1"/>
      <w:marLeft w:val="0"/>
      <w:marRight w:val="0"/>
      <w:marTop w:val="0"/>
      <w:marBottom w:val="0"/>
      <w:divBdr>
        <w:top w:val="none" w:sz="0" w:space="0" w:color="auto"/>
        <w:left w:val="none" w:sz="0" w:space="0" w:color="auto"/>
        <w:bottom w:val="none" w:sz="0" w:space="0" w:color="auto"/>
        <w:right w:val="none" w:sz="0" w:space="0" w:color="auto"/>
      </w:divBdr>
      <w:divsChild>
        <w:div w:id="1778058710">
          <w:marLeft w:val="0"/>
          <w:marRight w:val="0"/>
          <w:marTop w:val="0"/>
          <w:marBottom w:val="0"/>
          <w:divBdr>
            <w:top w:val="none" w:sz="0" w:space="0" w:color="auto"/>
            <w:left w:val="none" w:sz="0" w:space="0" w:color="auto"/>
            <w:bottom w:val="none" w:sz="0" w:space="0" w:color="auto"/>
            <w:right w:val="none" w:sz="0" w:space="0" w:color="auto"/>
          </w:divBdr>
        </w:div>
        <w:div w:id="1525049488">
          <w:marLeft w:val="0"/>
          <w:marRight w:val="0"/>
          <w:marTop w:val="0"/>
          <w:marBottom w:val="0"/>
          <w:divBdr>
            <w:top w:val="none" w:sz="0" w:space="0" w:color="auto"/>
            <w:left w:val="none" w:sz="0" w:space="0" w:color="auto"/>
            <w:bottom w:val="none" w:sz="0" w:space="0" w:color="auto"/>
            <w:right w:val="none" w:sz="0" w:space="0" w:color="auto"/>
          </w:divBdr>
        </w:div>
      </w:divsChild>
    </w:div>
    <w:div w:id="699667391">
      <w:bodyDiv w:val="1"/>
      <w:marLeft w:val="0"/>
      <w:marRight w:val="0"/>
      <w:marTop w:val="0"/>
      <w:marBottom w:val="0"/>
      <w:divBdr>
        <w:top w:val="none" w:sz="0" w:space="0" w:color="auto"/>
        <w:left w:val="none" w:sz="0" w:space="0" w:color="auto"/>
        <w:bottom w:val="none" w:sz="0" w:space="0" w:color="auto"/>
        <w:right w:val="none" w:sz="0" w:space="0" w:color="auto"/>
      </w:divBdr>
      <w:divsChild>
        <w:div w:id="1027220578">
          <w:marLeft w:val="0"/>
          <w:marRight w:val="0"/>
          <w:marTop w:val="0"/>
          <w:marBottom w:val="0"/>
          <w:divBdr>
            <w:top w:val="none" w:sz="0" w:space="0" w:color="auto"/>
            <w:left w:val="none" w:sz="0" w:space="0" w:color="auto"/>
            <w:bottom w:val="none" w:sz="0" w:space="0" w:color="auto"/>
            <w:right w:val="none" w:sz="0" w:space="0" w:color="auto"/>
          </w:divBdr>
        </w:div>
      </w:divsChild>
    </w:div>
    <w:div w:id="722141275">
      <w:bodyDiv w:val="1"/>
      <w:marLeft w:val="0"/>
      <w:marRight w:val="0"/>
      <w:marTop w:val="0"/>
      <w:marBottom w:val="0"/>
      <w:divBdr>
        <w:top w:val="none" w:sz="0" w:space="0" w:color="auto"/>
        <w:left w:val="none" w:sz="0" w:space="0" w:color="auto"/>
        <w:bottom w:val="none" w:sz="0" w:space="0" w:color="auto"/>
        <w:right w:val="none" w:sz="0" w:space="0" w:color="auto"/>
      </w:divBdr>
      <w:divsChild>
        <w:div w:id="401950293">
          <w:marLeft w:val="0"/>
          <w:marRight w:val="0"/>
          <w:marTop w:val="0"/>
          <w:marBottom w:val="0"/>
          <w:divBdr>
            <w:top w:val="none" w:sz="0" w:space="0" w:color="auto"/>
            <w:left w:val="none" w:sz="0" w:space="0" w:color="auto"/>
            <w:bottom w:val="none" w:sz="0" w:space="0" w:color="auto"/>
            <w:right w:val="none" w:sz="0" w:space="0" w:color="auto"/>
          </w:divBdr>
        </w:div>
      </w:divsChild>
    </w:div>
    <w:div w:id="864555861">
      <w:bodyDiv w:val="1"/>
      <w:marLeft w:val="0"/>
      <w:marRight w:val="0"/>
      <w:marTop w:val="0"/>
      <w:marBottom w:val="0"/>
      <w:divBdr>
        <w:top w:val="none" w:sz="0" w:space="0" w:color="auto"/>
        <w:left w:val="none" w:sz="0" w:space="0" w:color="auto"/>
        <w:bottom w:val="none" w:sz="0" w:space="0" w:color="auto"/>
        <w:right w:val="none" w:sz="0" w:space="0" w:color="auto"/>
      </w:divBdr>
      <w:divsChild>
        <w:div w:id="522666301">
          <w:marLeft w:val="0"/>
          <w:marRight w:val="0"/>
          <w:marTop w:val="0"/>
          <w:marBottom w:val="0"/>
          <w:divBdr>
            <w:top w:val="none" w:sz="0" w:space="0" w:color="auto"/>
            <w:left w:val="none" w:sz="0" w:space="0" w:color="auto"/>
            <w:bottom w:val="none" w:sz="0" w:space="0" w:color="auto"/>
            <w:right w:val="none" w:sz="0" w:space="0" w:color="auto"/>
          </w:divBdr>
        </w:div>
      </w:divsChild>
    </w:div>
    <w:div w:id="980117542">
      <w:bodyDiv w:val="1"/>
      <w:marLeft w:val="0"/>
      <w:marRight w:val="0"/>
      <w:marTop w:val="0"/>
      <w:marBottom w:val="0"/>
      <w:divBdr>
        <w:top w:val="none" w:sz="0" w:space="0" w:color="auto"/>
        <w:left w:val="none" w:sz="0" w:space="0" w:color="auto"/>
        <w:bottom w:val="none" w:sz="0" w:space="0" w:color="auto"/>
        <w:right w:val="none" w:sz="0" w:space="0" w:color="auto"/>
      </w:divBdr>
      <w:divsChild>
        <w:div w:id="855849821">
          <w:marLeft w:val="0"/>
          <w:marRight w:val="0"/>
          <w:marTop w:val="0"/>
          <w:marBottom w:val="0"/>
          <w:divBdr>
            <w:top w:val="none" w:sz="0" w:space="0" w:color="auto"/>
            <w:left w:val="none" w:sz="0" w:space="0" w:color="auto"/>
            <w:bottom w:val="none" w:sz="0" w:space="0" w:color="auto"/>
            <w:right w:val="none" w:sz="0" w:space="0" w:color="auto"/>
          </w:divBdr>
        </w:div>
      </w:divsChild>
    </w:div>
    <w:div w:id="989483194">
      <w:bodyDiv w:val="1"/>
      <w:marLeft w:val="0"/>
      <w:marRight w:val="0"/>
      <w:marTop w:val="0"/>
      <w:marBottom w:val="0"/>
      <w:divBdr>
        <w:top w:val="none" w:sz="0" w:space="0" w:color="auto"/>
        <w:left w:val="none" w:sz="0" w:space="0" w:color="auto"/>
        <w:bottom w:val="none" w:sz="0" w:space="0" w:color="auto"/>
        <w:right w:val="none" w:sz="0" w:space="0" w:color="auto"/>
      </w:divBdr>
      <w:divsChild>
        <w:div w:id="1019433357">
          <w:marLeft w:val="0"/>
          <w:marRight w:val="0"/>
          <w:marTop w:val="0"/>
          <w:marBottom w:val="0"/>
          <w:divBdr>
            <w:top w:val="none" w:sz="0" w:space="0" w:color="auto"/>
            <w:left w:val="none" w:sz="0" w:space="0" w:color="auto"/>
            <w:bottom w:val="none" w:sz="0" w:space="0" w:color="auto"/>
            <w:right w:val="none" w:sz="0" w:space="0" w:color="auto"/>
          </w:divBdr>
        </w:div>
      </w:divsChild>
    </w:div>
    <w:div w:id="1125542386">
      <w:bodyDiv w:val="1"/>
      <w:marLeft w:val="0"/>
      <w:marRight w:val="0"/>
      <w:marTop w:val="0"/>
      <w:marBottom w:val="0"/>
      <w:divBdr>
        <w:top w:val="none" w:sz="0" w:space="0" w:color="auto"/>
        <w:left w:val="none" w:sz="0" w:space="0" w:color="auto"/>
        <w:bottom w:val="none" w:sz="0" w:space="0" w:color="auto"/>
        <w:right w:val="none" w:sz="0" w:space="0" w:color="auto"/>
      </w:divBdr>
      <w:divsChild>
        <w:div w:id="820193673">
          <w:marLeft w:val="0"/>
          <w:marRight w:val="0"/>
          <w:marTop w:val="0"/>
          <w:marBottom w:val="0"/>
          <w:divBdr>
            <w:top w:val="none" w:sz="0" w:space="0" w:color="auto"/>
            <w:left w:val="none" w:sz="0" w:space="0" w:color="auto"/>
            <w:bottom w:val="none" w:sz="0" w:space="0" w:color="auto"/>
            <w:right w:val="none" w:sz="0" w:space="0" w:color="auto"/>
          </w:divBdr>
        </w:div>
        <w:div w:id="1203981770">
          <w:marLeft w:val="0"/>
          <w:marRight w:val="0"/>
          <w:marTop w:val="0"/>
          <w:marBottom w:val="0"/>
          <w:divBdr>
            <w:top w:val="none" w:sz="0" w:space="0" w:color="auto"/>
            <w:left w:val="none" w:sz="0" w:space="0" w:color="auto"/>
            <w:bottom w:val="none" w:sz="0" w:space="0" w:color="auto"/>
            <w:right w:val="none" w:sz="0" w:space="0" w:color="auto"/>
          </w:divBdr>
        </w:div>
      </w:divsChild>
    </w:div>
    <w:div w:id="1156533719">
      <w:bodyDiv w:val="1"/>
      <w:marLeft w:val="0"/>
      <w:marRight w:val="0"/>
      <w:marTop w:val="0"/>
      <w:marBottom w:val="0"/>
      <w:divBdr>
        <w:top w:val="none" w:sz="0" w:space="0" w:color="auto"/>
        <w:left w:val="none" w:sz="0" w:space="0" w:color="auto"/>
        <w:bottom w:val="none" w:sz="0" w:space="0" w:color="auto"/>
        <w:right w:val="none" w:sz="0" w:space="0" w:color="auto"/>
      </w:divBdr>
      <w:divsChild>
        <w:div w:id="454252375">
          <w:marLeft w:val="0"/>
          <w:marRight w:val="0"/>
          <w:marTop w:val="0"/>
          <w:marBottom w:val="0"/>
          <w:divBdr>
            <w:top w:val="none" w:sz="0" w:space="0" w:color="auto"/>
            <w:left w:val="none" w:sz="0" w:space="0" w:color="auto"/>
            <w:bottom w:val="none" w:sz="0" w:space="0" w:color="auto"/>
            <w:right w:val="none" w:sz="0" w:space="0" w:color="auto"/>
          </w:divBdr>
        </w:div>
        <w:div w:id="1042049478">
          <w:marLeft w:val="0"/>
          <w:marRight w:val="0"/>
          <w:marTop w:val="0"/>
          <w:marBottom w:val="0"/>
          <w:divBdr>
            <w:top w:val="none" w:sz="0" w:space="0" w:color="auto"/>
            <w:left w:val="none" w:sz="0" w:space="0" w:color="auto"/>
            <w:bottom w:val="none" w:sz="0" w:space="0" w:color="auto"/>
            <w:right w:val="none" w:sz="0" w:space="0" w:color="auto"/>
          </w:divBdr>
        </w:div>
      </w:divsChild>
    </w:div>
    <w:div w:id="1200126424">
      <w:bodyDiv w:val="1"/>
      <w:marLeft w:val="0"/>
      <w:marRight w:val="0"/>
      <w:marTop w:val="0"/>
      <w:marBottom w:val="0"/>
      <w:divBdr>
        <w:top w:val="none" w:sz="0" w:space="0" w:color="auto"/>
        <w:left w:val="none" w:sz="0" w:space="0" w:color="auto"/>
        <w:bottom w:val="none" w:sz="0" w:space="0" w:color="auto"/>
        <w:right w:val="none" w:sz="0" w:space="0" w:color="auto"/>
      </w:divBdr>
    </w:div>
    <w:div w:id="1242059515">
      <w:bodyDiv w:val="1"/>
      <w:marLeft w:val="0"/>
      <w:marRight w:val="0"/>
      <w:marTop w:val="0"/>
      <w:marBottom w:val="0"/>
      <w:divBdr>
        <w:top w:val="none" w:sz="0" w:space="0" w:color="auto"/>
        <w:left w:val="none" w:sz="0" w:space="0" w:color="auto"/>
        <w:bottom w:val="none" w:sz="0" w:space="0" w:color="auto"/>
        <w:right w:val="none" w:sz="0" w:space="0" w:color="auto"/>
      </w:divBdr>
      <w:divsChild>
        <w:div w:id="1789272999">
          <w:marLeft w:val="0"/>
          <w:marRight w:val="0"/>
          <w:marTop w:val="0"/>
          <w:marBottom w:val="0"/>
          <w:divBdr>
            <w:top w:val="none" w:sz="0" w:space="0" w:color="auto"/>
            <w:left w:val="none" w:sz="0" w:space="0" w:color="auto"/>
            <w:bottom w:val="none" w:sz="0" w:space="0" w:color="auto"/>
            <w:right w:val="none" w:sz="0" w:space="0" w:color="auto"/>
          </w:divBdr>
        </w:div>
        <w:div w:id="1464810853">
          <w:marLeft w:val="0"/>
          <w:marRight w:val="0"/>
          <w:marTop w:val="0"/>
          <w:marBottom w:val="0"/>
          <w:divBdr>
            <w:top w:val="none" w:sz="0" w:space="0" w:color="auto"/>
            <w:left w:val="none" w:sz="0" w:space="0" w:color="auto"/>
            <w:bottom w:val="none" w:sz="0" w:space="0" w:color="auto"/>
            <w:right w:val="none" w:sz="0" w:space="0" w:color="auto"/>
          </w:divBdr>
        </w:div>
      </w:divsChild>
    </w:div>
    <w:div w:id="1300572443">
      <w:bodyDiv w:val="1"/>
      <w:marLeft w:val="0"/>
      <w:marRight w:val="0"/>
      <w:marTop w:val="0"/>
      <w:marBottom w:val="0"/>
      <w:divBdr>
        <w:top w:val="none" w:sz="0" w:space="0" w:color="auto"/>
        <w:left w:val="none" w:sz="0" w:space="0" w:color="auto"/>
        <w:bottom w:val="none" w:sz="0" w:space="0" w:color="auto"/>
        <w:right w:val="none" w:sz="0" w:space="0" w:color="auto"/>
      </w:divBdr>
      <w:divsChild>
        <w:div w:id="236481790">
          <w:marLeft w:val="600"/>
          <w:marRight w:val="0"/>
          <w:marTop w:val="0"/>
          <w:marBottom w:val="0"/>
          <w:divBdr>
            <w:top w:val="none" w:sz="0" w:space="0" w:color="auto"/>
            <w:left w:val="none" w:sz="0" w:space="0" w:color="auto"/>
            <w:bottom w:val="none" w:sz="0" w:space="0" w:color="auto"/>
            <w:right w:val="none" w:sz="0" w:space="0" w:color="auto"/>
          </w:divBdr>
        </w:div>
        <w:div w:id="1580094051">
          <w:marLeft w:val="600"/>
          <w:marRight w:val="0"/>
          <w:marTop w:val="0"/>
          <w:marBottom w:val="0"/>
          <w:divBdr>
            <w:top w:val="none" w:sz="0" w:space="0" w:color="auto"/>
            <w:left w:val="none" w:sz="0" w:space="0" w:color="auto"/>
            <w:bottom w:val="none" w:sz="0" w:space="0" w:color="auto"/>
            <w:right w:val="none" w:sz="0" w:space="0" w:color="auto"/>
          </w:divBdr>
        </w:div>
      </w:divsChild>
    </w:div>
    <w:div w:id="1307861172">
      <w:bodyDiv w:val="1"/>
      <w:marLeft w:val="0"/>
      <w:marRight w:val="0"/>
      <w:marTop w:val="0"/>
      <w:marBottom w:val="0"/>
      <w:divBdr>
        <w:top w:val="none" w:sz="0" w:space="0" w:color="auto"/>
        <w:left w:val="none" w:sz="0" w:space="0" w:color="auto"/>
        <w:bottom w:val="none" w:sz="0" w:space="0" w:color="auto"/>
        <w:right w:val="none" w:sz="0" w:space="0" w:color="auto"/>
      </w:divBdr>
      <w:divsChild>
        <w:div w:id="244268588">
          <w:marLeft w:val="0"/>
          <w:marRight w:val="0"/>
          <w:marTop w:val="0"/>
          <w:marBottom w:val="0"/>
          <w:divBdr>
            <w:top w:val="none" w:sz="0" w:space="0" w:color="auto"/>
            <w:left w:val="none" w:sz="0" w:space="0" w:color="auto"/>
            <w:bottom w:val="none" w:sz="0" w:space="0" w:color="auto"/>
            <w:right w:val="none" w:sz="0" w:space="0" w:color="auto"/>
          </w:divBdr>
        </w:div>
      </w:divsChild>
    </w:div>
    <w:div w:id="1700274998">
      <w:bodyDiv w:val="1"/>
      <w:marLeft w:val="0"/>
      <w:marRight w:val="0"/>
      <w:marTop w:val="0"/>
      <w:marBottom w:val="0"/>
      <w:divBdr>
        <w:top w:val="none" w:sz="0" w:space="0" w:color="auto"/>
        <w:left w:val="none" w:sz="0" w:space="0" w:color="auto"/>
        <w:bottom w:val="none" w:sz="0" w:space="0" w:color="auto"/>
        <w:right w:val="none" w:sz="0" w:space="0" w:color="auto"/>
      </w:divBdr>
      <w:divsChild>
        <w:div w:id="1051225431">
          <w:marLeft w:val="0"/>
          <w:marRight w:val="0"/>
          <w:marTop w:val="0"/>
          <w:marBottom w:val="0"/>
          <w:divBdr>
            <w:top w:val="none" w:sz="0" w:space="0" w:color="auto"/>
            <w:left w:val="none" w:sz="0" w:space="0" w:color="auto"/>
            <w:bottom w:val="none" w:sz="0" w:space="0" w:color="auto"/>
            <w:right w:val="none" w:sz="0" w:space="0" w:color="auto"/>
          </w:divBdr>
        </w:div>
        <w:div w:id="368917591">
          <w:marLeft w:val="0"/>
          <w:marRight w:val="0"/>
          <w:marTop w:val="0"/>
          <w:marBottom w:val="0"/>
          <w:divBdr>
            <w:top w:val="none" w:sz="0" w:space="0" w:color="auto"/>
            <w:left w:val="none" w:sz="0" w:space="0" w:color="auto"/>
            <w:bottom w:val="none" w:sz="0" w:space="0" w:color="auto"/>
            <w:right w:val="none" w:sz="0" w:space="0" w:color="auto"/>
          </w:divBdr>
          <w:divsChild>
            <w:div w:id="34020464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05460604">
      <w:bodyDiv w:val="1"/>
      <w:marLeft w:val="0"/>
      <w:marRight w:val="0"/>
      <w:marTop w:val="0"/>
      <w:marBottom w:val="0"/>
      <w:divBdr>
        <w:top w:val="none" w:sz="0" w:space="0" w:color="auto"/>
        <w:left w:val="none" w:sz="0" w:space="0" w:color="auto"/>
        <w:bottom w:val="none" w:sz="0" w:space="0" w:color="auto"/>
        <w:right w:val="none" w:sz="0" w:space="0" w:color="auto"/>
      </w:divBdr>
      <w:divsChild>
        <w:div w:id="1101874603">
          <w:marLeft w:val="0"/>
          <w:marRight w:val="0"/>
          <w:marTop w:val="0"/>
          <w:marBottom w:val="0"/>
          <w:divBdr>
            <w:top w:val="none" w:sz="0" w:space="0" w:color="auto"/>
            <w:left w:val="none" w:sz="0" w:space="0" w:color="auto"/>
            <w:bottom w:val="none" w:sz="0" w:space="0" w:color="auto"/>
            <w:right w:val="none" w:sz="0" w:space="0" w:color="auto"/>
          </w:divBdr>
        </w:div>
      </w:divsChild>
    </w:div>
    <w:div w:id="1832140765">
      <w:bodyDiv w:val="1"/>
      <w:marLeft w:val="0"/>
      <w:marRight w:val="0"/>
      <w:marTop w:val="0"/>
      <w:marBottom w:val="0"/>
      <w:divBdr>
        <w:top w:val="none" w:sz="0" w:space="0" w:color="auto"/>
        <w:left w:val="none" w:sz="0" w:space="0" w:color="auto"/>
        <w:bottom w:val="none" w:sz="0" w:space="0" w:color="auto"/>
        <w:right w:val="none" w:sz="0" w:space="0" w:color="auto"/>
      </w:divBdr>
      <w:divsChild>
        <w:div w:id="1143161495">
          <w:marLeft w:val="0"/>
          <w:marRight w:val="0"/>
          <w:marTop w:val="0"/>
          <w:marBottom w:val="0"/>
          <w:divBdr>
            <w:top w:val="none" w:sz="0" w:space="0" w:color="auto"/>
            <w:left w:val="none" w:sz="0" w:space="0" w:color="auto"/>
            <w:bottom w:val="none" w:sz="0" w:space="0" w:color="auto"/>
            <w:right w:val="none" w:sz="0" w:space="0" w:color="auto"/>
          </w:divBdr>
        </w:div>
      </w:divsChild>
    </w:div>
    <w:div w:id="1903249497">
      <w:bodyDiv w:val="1"/>
      <w:marLeft w:val="0"/>
      <w:marRight w:val="0"/>
      <w:marTop w:val="0"/>
      <w:marBottom w:val="0"/>
      <w:divBdr>
        <w:top w:val="none" w:sz="0" w:space="0" w:color="auto"/>
        <w:left w:val="none" w:sz="0" w:space="0" w:color="auto"/>
        <w:bottom w:val="none" w:sz="0" w:space="0" w:color="auto"/>
        <w:right w:val="none" w:sz="0" w:space="0" w:color="auto"/>
      </w:divBdr>
      <w:divsChild>
        <w:div w:id="144443189">
          <w:marLeft w:val="0"/>
          <w:marRight w:val="0"/>
          <w:marTop w:val="0"/>
          <w:marBottom w:val="0"/>
          <w:divBdr>
            <w:top w:val="none" w:sz="0" w:space="0" w:color="auto"/>
            <w:left w:val="none" w:sz="0" w:space="0" w:color="auto"/>
            <w:bottom w:val="none" w:sz="0" w:space="0" w:color="auto"/>
            <w:right w:val="none" w:sz="0" w:space="0" w:color="auto"/>
          </w:divBdr>
        </w:div>
        <w:div w:id="2090232167">
          <w:marLeft w:val="0"/>
          <w:marRight w:val="0"/>
          <w:marTop w:val="0"/>
          <w:marBottom w:val="0"/>
          <w:divBdr>
            <w:top w:val="none" w:sz="0" w:space="0" w:color="auto"/>
            <w:left w:val="none" w:sz="0" w:space="0" w:color="auto"/>
            <w:bottom w:val="none" w:sz="0" w:space="0" w:color="auto"/>
            <w:right w:val="none" w:sz="0" w:space="0" w:color="auto"/>
          </w:divBdr>
        </w:div>
      </w:divsChild>
    </w:div>
    <w:div w:id="1909921489">
      <w:bodyDiv w:val="1"/>
      <w:marLeft w:val="0"/>
      <w:marRight w:val="0"/>
      <w:marTop w:val="0"/>
      <w:marBottom w:val="0"/>
      <w:divBdr>
        <w:top w:val="none" w:sz="0" w:space="0" w:color="auto"/>
        <w:left w:val="none" w:sz="0" w:space="0" w:color="auto"/>
        <w:bottom w:val="none" w:sz="0" w:space="0" w:color="auto"/>
        <w:right w:val="none" w:sz="0" w:space="0" w:color="auto"/>
      </w:divBdr>
      <w:divsChild>
        <w:div w:id="785389843">
          <w:marLeft w:val="0"/>
          <w:marRight w:val="0"/>
          <w:marTop w:val="0"/>
          <w:marBottom w:val="0"/>
          <w:divBdr>
            <w:top w:val="none" w:sz="0" w:space="0" w:color="auto"/>
            <w:left w:val="none" w:sz="0" w:space="0" w:color="auto"/>
            <w:bottom w:val="none" w:sz="0" w:space="0" w:color="auto"/>
            <w:right w:val="none" w:sz="0" w:space="0" w:color="auto"/>
          </w:divBdr>
        </w:div>
      </w:divsChild>
    </w:div>
    <w:div w:id="1921519457">
      <w:bodyDiv w:val="1"/>
      <w:marLeft w:val="0"/>
      <w:marRight w:val="0"/>
      <w:marTop w:val="0"/>
      <w:marBottom w:val="0"/>
      <w:divBdr>
        <w:top w:val="none" w:sz="0" w:space="0" w:color="auto"/>
        <w:left w:val="none" w:sz="0" w:space="0" w:color="auto"/>
        <w:bottom w:val="none" w:sz="0" w:space="0" w:color="auto"/>
        <w:right w:val="none" w:sz="0" w:space="0" w:color="auto"/>
      </w:divBdr>
      <w:divsChild>
        <w:div w:id="1034160025">
          <w:marLeft w:val="0"/>
          <w:marRight w:val="0"/>
          <w:marTop w:val="0"/>
          <w:marBottom w:val="0"/>
          <w:divBdr>
            <w:top w:val="none" w:sz="0" w:space="0" w:color="auto"/>
            <w:left w:val="none" w:sz="0" w:space="0" w:color="auto"/>
            <w:bottom w:val="none" w:sz="0" w:space="0" w:color="auto"/>
            <w:right w:val="none" w:sz="0" w:space="0" w:color="auto"/>
          </w:divBdr>
        </w:div>
        <w:div w:id="129910621">
          <w:marLeft w:val="0"/>
          <w:marRight w:val="0"/>
          <w:marTop w:val="0"/>
          <w:marBottom w:val="0"/>
          <w:divBdr>
            <w:top w:val="none" w:sz="0" w:space="0" w:color="auto"/>
            <w:left w:val="none" w:sz="0" w:space="0" w:color="auto"/>
            <w:bottom w:val="none" w:sz="0" w:space="0" w:color="auto"/>
            <w:right w:val="none" w:sz="0" w:space="0" w:color="auto"/>
          </w:divBdr>
        </w:div>
      </w:divsChild>
    </w:div>
    <w:div w:id="2080252500">
      <w:bodyDiv w:val="1"/>
      <w:marLeft w:val="0"/>
      <w:marRight w:val="0"/>
      <w:marTop w:val="0"/>
      <w:marBottom w:val="0"/>
      <w:divBdr>
        <w:top w:val="none" w:sz="0" w:space="0" w:color="auto"/>
        <w:left w:val="none" w:sz="0" w:space="0" w:color="auto"/>
        <w:bottom w:val="none" w:sz="0" w:space="0" w:color="auto"/>
        <w:right w:val="none" w:sz="0" w:space="0" w:color="auto"/>
      </w:divBdr>
      <w:divsChild>
        <w:div w:id="1129786286">
          <w:marLeft w:val="0"/>
          <w:marRight w:val="0"/>
          <w:marTop w:val="0"/>
          <w:marBottom w:val="0"/>
          <w:divBdr>
            <w:top w:val="none" w:sz="0" w:space="0" w:color="auto"/>
            <w:left w:val="none" w:sz="0" w:space="0" w:color="auto"/>
            <w:bottom w:val="none" w:sz="0" w:space="0" w:color="auto"/>
            <w:right w:val="none" w:sz="0" w:space="0" w:color="auto"/>
          </w:divBdr>
        </w:div>
        <w:div w:id="1379402512">
          <w:marLeft w:val="0"/>
          <w:marRight w:val="0"/>
          <w:marTop w:val="0"/>
          <w:marBottom w:val="0"/>
          <w:divBdr>
            <w:top w:val="none" w:sz="0" w:space="0" w:color="auto"/>
            <w:left w:val="none" w:sz="0" w:space="0" w:color="auto"/>
            <w:bottom w:val="none" w:sz="0" w:space="0" w:color="auto"/>
            <w:right w:val="none" w:sz="0" w:space="0" w:color="auto"/>
          </w:divBdr>
        </w:div>
      </w:divsChild>
    </w:div>
    <w:div w:id="2111655977">
      <w:bodyDiv w:val="1"/>
      <w:marLeft w:val="0"/>
      <w:marRight w:val="0"/>
      <w:marTop w:val="0"/>
      <w:marBottom w:val="0"/>
      <w:divBdr>
        <w:top w:val="none" w:sz="0" w:space="0" w:color="auto"/>
        <w:left w:val="none" w:sz="0" w:space="0" w:color="auto"/>
        <w:bottom w:val="none" w:sz="0" w:space="0" w:color="auto"/>
        <w:right w:val="none" w:sz="0" w:space="0" w:color="auto"/>
      </w:divBdr>
    </w:div>
    <w:div w:id="2113012486">
      <w:bodyDiv w:val="1"/>
      <w:marLeft w:val="0"/>
      <w:marRight w:val="0"/>
      <w:marTop w:val="0"/>
      <w:marBottom w:val="0"/>
      <w:divBdr>
        <w:top w:val="none" w:sz="0" w:space="0" w:color="auto"/>
        <w:left w:val="none" w:sz="0" w:space="0" w:color="auto"/>
        <w:bottom w:val="none" w:sz="0" w:space="0" w:color="auto"/>
        <w:right w:val="none" w:sz="0" w:space="0" w:color="auto"/>
      </w:divBdr>
      <w:divsChild>
        <w:div w:id="695884725">
          <w:marLeft w:val="0"/>
          <w:marRight w:val="0"/>
          <w:marTop w:val="0"/>
          <w:marBottom w:val="0"/>
          <w:divBdr>
            <w:top w:val="none" w:sz="0" w:space="0" w:color="auto"/>
            <w:left w:val="none" w:sz="0" w:space="0" w:color="auto"/>
            <w:bottom w:val="none" w:sz="0" w:space="0" w:color="auto"/>
            <w:right w:val="none" w:sz="0" w:space="0" w:color="auto"/>
          </w:divBdr>
        </w:div>
        <w:div w:id="128481699">
          <w:marLeft w:val="0"/>
          <w:marRight w:val="0"/>
          <w:marTop w:val="0"/>
          <w:marBottom w:val="0"/>
          <w:divBdr>
            <w:top w:val="none" w:sz="0" w:space="0" w:color="auto"/>
            <w:left w:val="none" w:sz="0" w:space="0" w:color="auto"/>
            <w:bottom w:val="none" w:sz="0" w:space="0" w:color="auto"/>
            <w:right w:val="none" w:sz="0" w:space="0" w:color="auto"/>
          </w:divBdr>
        </w:div>
      </w:divsChild>
    </w:div>
    <w:div w:id="2113426526">
      <w:bodyDiv w:val="1"/>
      <w:marLeft w:val="0"/>
      <w:marRight w:val="0"/>
      <w:marTop w:val="0"/>
      <w:marBottom w:val="0"/>
      <w:divBdr>
        <w:top w:val="none" w:sz="0" w:space="0" w:color="auto"/>
        <w:left w:val="none" w:sz="0" w:space="0" w:color="auto"/>
        <w:bottom w:val="none" w:sz="0" w:space="0" w:color="auto"/>
        <w:right w:val="none" w:sz="0" w:space="0" w:color="auto"/>
      </w:divBdr>
      <w:divsChild>
        <w:div w:id="403531504">
          <w:marLeft w:val="0"/>
          <w:marRight w:val="0"/>
          <w:marTop w:val="0"/>
          <w:marBottom w:val="0"/>
          <w:divBdr>
            <w:top w:val="none" w:sz="0" w:space="0" w:color="auto"/>
            <w:left w:val="none" w:sz="0" w:space="0" w:color="auto"/>
            <w:bottom w:val="none" w:sz="0" w:space="0" w:color="auto"/>
            <w:right w:val="none" w:sz="0" w:space="0" w:color="auto"/>
          </w:divBdr>
        </w:div>
      </w:divsChild>
    </w:div>
    <w:div w:id="2121484168">
      <w:bodyDiv w:val="1"/>
      <w:marLeft w:val="0"/>
      <w:marRight w:val="0"/>
      <w:marTop w:val="0"/>
      <w:marBottom w:val="0"/>
      <w:divBdr>
        <w:top w:val="none" w:sz="0" w:space="0" w:color="auto"/>
        <w:left w:val="none" w:sz="0" w:space="0" w:color="auto"/>
        <w:bottom w:val="none" w:sz="0" w:space="0" w:color="auto"/>
        <w:right w:val="none" w:sz="0" w:space="0" w:color="auto"/>
      </w:divBdr>
      <w:divsChild>
        <w:div w:id="1286159768">
          <w:marLeft w:val="0"/>
          <w:marRight w:val="0"/>
          <w:marTop w:val="0"/>
          <w:marBottom w:val="0"/>
          <w:divBdr>
            <w:top w:val="none" w:sz="0" w:space="0" w:color="auto"/>
            <w:left w:val="none" w:sz="0" w:space="0" w:color="auto"/>
            <w:bottom w:val="none" w:sz="0" w:space="0" w:color="auto"/>
            <w:right w:val="none" w:sz="0" w:space="0" w:color="auto"/>
          </w:divBdr>
        </w:div>
        <w:div w:id="62605085">
          <w:marLeft w:val="0"/>
          <w:marRight w:val="0"/>
          <w:marTop w:val="0"/>
          <w:marBottom w:val="0"/>
          <w:divBdr>
            <w:top w:val="none" w:sz="0" w:space="0" w:color="auto"/>
            <w:left w:val="none" w:sz="0" w:space="0" w:color="auto"/>
            <w:bottom w:val="none" w:sz="0" w:space="0" w:color="auto"/>
            <w:right w:val="none" w:sz="0" w:space="0" w:color="auto"/>
          </w:divBdr>
        </w:div>
      </w:divsChild>
    </w:div>
    <w:div w:id="2125343307">
      <w:bodyDiv w:val="1"/>
      <w:marLeft w:val="0"/>
      <w:marRight w:val="0"/>
      <w:marTop w:val="0"/>
      <w:marBottom w:val="0"/>
      <w:divBdr>
        <w:top w:val="none" w:sz="0" w:space="0" w:color="auto"/>
        <w:left w:val="none" w:sz="0" w:space="0" w:color="auto"/>
        <w:bottom w:val="none" w:sz="0" w:space="0" w:color="auto"/>
        <w:right w:val="none" w:sz="0" w:space="0" w:color="auto"/>
      </w:divBdr>
      <w:divsChild>
        <w:div w:id="1792818145">
          <w:marLeft w:val="0"/>
          <w:marRight w:val="0"/>
          <w:marTop w:val="0"/>
          <w:marBottom w:val="0"/>
          <w:divBdr>
            <w:top w:val="none" w:sz="0" w:space="0" w:color="auto"/>
            <w:left w:val="none" w:sz="0" w:space="0" w:color="auto"/>
            <w:bottom w:val="none" w:sz="0" w:space="0" w:color="auto"/>
            <w:right w:val="none" w:sz="0" w:space="0" w:color="auto"/>
          </w:divBdr>
        </w:div>
      </w:divsChild>
    </w:div>
    <w:div w:id="2131052003">
      <w:bodyDiv w:val="1"/>
      <w:marLeft w:val="0"/>
      <w:marRight w:val="0"/>
      <w:marTop w:val="0"/>
      <w:marBottom w:val="0"/>
      <w:divBdr>
        <w:top w:val="none" w:sz="0" w:space="0" w:color="auto"/>
        <w:left w:val="none" w:sz="0" w:space="0" w:color="auto"/>
        <w:bottom w:val="none" w:sz="0" w:space="0" w:color="auto"/>
        <w:right w:val="none" w:sz="0" w:space="0" w:color="auto"/>
      </w:divBdr>
    </w:div>
    <w:div w:id="21367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dc:creator>
  <cp:lastModifiedBy>Tea Tavidashvili</cp:lastModifiedBy>
  <cp:revision>3</cp:revision>
  <dcterms:created xsi:type="dcterms:W3CDTF">2020-06-01T13:29:00Z</dcterms:created>
  <dcterms:modified xsi:type="dcterms:W3CDTF">2020-06-02T08:23:00Z</dcterms:modified>
</cp:coreProperties>
</file>